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2  ·  ISO 27001 REQUIREMENTS</w:t>
      </w:r>
    </w:p>
    <w:p>
      <w:pPr>
        <w:spacing w:after="80"/>
      </w:pPr>
      <w:r>
        <w:rPr>
          <w:rFonts w:ascii="Arial" w:cs="Arial" w:eastAsia="Arial" w:hAnsi="Arial"/>
          <w:b/>
          <w:bCs/>
          <w:caps/>
          <w:color w:val="4B5563"/>
          <w:sz w:val="18"/>
          <w:szCs w:val="18"/>
        </w:rPr>
        <w:t xml:space="preserve">ARTICLE 2.2  ·  CLAUSE 4 — CONTEXT OF THE ORGANIZATION</w:t>
      </w:r>
    </w:p>
    <w:p>
      <w:pPr>
        <w:pStyle w:val="Heading1"/>
        <w:spacing w:after="120"/>
      </w:pPr>
      <w:r>
        <w:rPr>
          <w:rFonts w:ascii="Arial" w:cs="Arial" w:eastAsia="Arial" w:hAnsi="Arial"/>
          <w:b/>
          <w:bCs/>
          <w:color w:val="1B3A5C"/>
          <w:sz w:val="44"/>
          <w:szCs w:val="44"/>
        </w:rPr>
        <w:t xml:space="preserve">Context of the Organization</w:t>
      </w:r>
    </w:p>
    <w:p>
      <w:pPr>
        <w:spacing w:after="60"/>
      </w:pPr>
      <w:r>
        <w:rPr>
          <w:rFonts w:ascii="Georgia" w:cs="Georgia" w:eastAsia="Georgia" w:hAnsi="Georgia"/>
          <w:i/>
          <w:iCs/>
          <w:color w:val="4B5563"/>
          <w:sz w:val="24"/>
          <w:szCs w:val="24"/>
        </w:rPr>
        <w:t xml:space="preserve">A deep dive into ISO 27001 Clause 4 — understanding internal and external issues, mapping interested parties, defining the ISMS scope, and why getting these foundations right determines the quality of everything that follows.</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Clause 4 is the starting pistol of every ISO 27001 implementation. Before you assess a single risk, write a single policy, or select a single control, the standard requires you to do something more fundamental: understand the environment your ISMS will operate in.</w:t>
      </w:r>
    </w:p>
    <w:p>
      <w:pPr>
        <w:spacing w:after="80"/>
      </w:pPr>
      <w:r>
        <w:t xml:space="preserve"/>
      </w:r>
    </w:p>
    <w:p>
      <w:pPr>
        <w:spacing w:after="160" w:line="320"/>
        <w:jc w:val="both"/>
      </w:pPr>
      <w:r>
        <w:rPr>
          <w:rFonts w:ascii="Georgia" w:cs="Georgia" w:eastAsia="Georgia" w:hAnsi="Georgia"/>
          <w:color w:val="111827"/>
          <w:sz w:val="22"/>
          <w:szCs w:val="22"/>
        </w:rPr>
        <w:t xml:space="preserve">This is not a bureaucratic formality. The organizations that rush through Clause 4 — copying generic context analysis templates from the internet and ticking the box — consistently produce risk assessments that miss real risks, scope statements that create gaps, and ISMS programs that satisfy auditors on paper while leaving the organization exposed in practice.</w:t>
      </w:r>
    </w:p>
    <w:p>
      <w:pPr>
        <w:spacing w:after="80"/>
      </w:pPr>
      <w:r>
        <w:t xml:space="preserve"/>
      </w:r>
    </w:p>
    <w:p>
      <w:pPr>
        <w:spacing w:after="160" w:line="320"/>
        <w:jc w:val="both"/>
      </w:pPr>
      <w:r>
        <w:rPr>
          <w:rFonts w:ascii="Georgia" w:cs="Georgia" w:eastAsia="Georgia" w:hAnsi="Georgia"/>
          <w:color w:val="111827"/>
          <w:sz w:val="22"/>
          <w:szCs w:val="22"/>
        </w:rPr>
        <w:t xml:space="preserve">Done properly, Clause 4 is the most valuable analytical work in the entire ISMS implementation. It forces the organization to ask hard questions about who it is, what it does, who depends on it, who regulates it, and what could go wrong — before any solutions are designed. This article walks through each sub-clause with the depth it deserves.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4 at a Glance</w:t>
      </w:r>
    </w:p>
    <w:p>
      <w:pPr>
        <w:spacing w:after="80"/>
      </w:pPr>
      <w:r>
        <w:t xml:space="preserve"/>
      </w:r>
    </w:p>
    <w:p>
      <w:pPr>
        <w:spacing w:after="160" w:line="320"/>
        <w:jc w:val="both"/>
      </w:pPr>
      <w:r>
        <w:rPr>
          <w:rFonts w:ascii="Georgia" w:cs="Georgia" w:eastAsia="Georgia" w:hAnsi="Georgia"/>
          <w:color w:val="111827"/>
          <w:sz w:val="22"/>
          <w:szCs w:val="22"/>
        </w:rPr>
        <w:t xml:space="preserve">Clause 4 contains four sub-clauses, each building on the previous one. Together they establish the analytical foundation for the entire ISMS: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DBEAFE" w:sz="1"/>
              <w:left w:val="single" w:color="DBEAFE" w:sz="1"/>
              <w:bottom w:val="single" w:color="DBEAFE" w:sz="1"/>
              <w:right w:val="single" w:color="DBEAFE" w:sz="1"/>
            </w:tcBorders>
            <w:shd w:fill="3730A3" w:val="clear"/>
            <w:tcMar>
              <w:top w:type="dxa" w:w="130"/>
              <w:left w:type="dxa" w:w="140"/>
              <w:bottom w:type="dxa" w:w="130"/>
              <w:right w:type="dxa" w:w="140"/>
            </w:tcMar>
          </w:tcPr>
          <w:p>
            <w:pPr>
              <w:spacing w:after="50"/>
            </w:pPr>
            <w:r>
              <w:rPr>
                <w:rFonts w:ascii="Arial" w:cs="Arial" w:eastAsia="Arial" w:hAnsi="Arial"/>
                <w:b/>
                <w:bCs/>
                <w:color w:val="FFFFFF"/>
                <w:sz w:val="21"/>
                <w:szCs w:val="21"/>
              </w:rPr>
              <w:t xml:space="preserve">4.1 — Context</w:t>
            </w:r>
          </w:p>
          <w:p>
            <w:r>
              <w:rPr>
                <w:rFonts w:ascii="Georgia" w:cs="Georgia" w:eastAsia="Georgia" w:hAnsi="Georgia"/>
                <w:i/>
                <w:iCs/>
                <w:color w:val="D1FAE5"/>
                <w:sz w:val="19"/>
                <w:szCs w:val="19"/>
              </w:rPr>
              <w:t xml:space="preserve">Internal &amp; external issues</w:t>
            </w:r>
          </w:p>
        </w:tc>
        <w:tc>
          <w:tcPr>
            <w:tcW w:type="dxa" w:w="2340"/>
            <w:tcBorders>
              <w:top w:val="single" w:color="DBEAFE" w:sz="1"/>
              <w:left w:val="single" w:color="DBEAFE" w:sz="1"/>
              <w:bottom w:val="single" w:color="DBEAFE" w:sz="1"/>
              <w:right w:val="single" w:color="DBEAFE" w:sz="1"/>
            </w:tcBorders>
            <w:shd w:fill="2563A8" w:val="clear"/>
            <w:tcMar>
              <w:top w:type="dxa" w:w="130"/>
              <w:left w:type="dxa" w:w="140"/>
              <w:bottom w:type="dxa" w:w="130"/>
              <w:right w:type="dxa" w:w="140"/>
            </w:tcMar>
          </w:tcPr>
          <w:p>
            <w:pPr>
              <w:spacing w:after="50"/>
            </w:pPr>
            <w:r>
              <w:rPr>
                <w:rFonts w:ascii="Arial" w:cs="Arial" w:eastAsia="Arial" w:hAnsi="Arial"/>
                <w:b/>
                <w:bCs/>
                <w:color w:val="FFFFFF"/>
                <w:sz w:val="21"/>
                <w:szCs w:val="21"/>
              </w:rPr>
              <w:t xml:space="preserve">4.2 — Stakeholders</w:t>
            </w:r>
          </w:p>
          <w:p>
            <w:r>
              <w:rPr>
                <w:rFonts w:ascii="Georgia" w:cs="Georgia" w:eastAsia="Georgia" w:hAnsi="Georgia"/>
                <w:i/>
                <w:iCs/>
                <w:color w:val="D1FAE5"/>
                <w:sz w:val="19"/>
                <w:szCs w:val="19"/>
              </w:rPr>
              <w:t xml:space="preserve">Interested parties &amp; requirements</w:t>
            </w:r>
          </w:p>
        </w:tc>
        <w:tc>
          <w:tcPr>
            <w:tcW w:type="dxa" w:w="2340"/>
            <w:tcBorders>
              <w:top w:val="single" w:color="DBEAFE" w:sz="1"/>
              <w:left w:val="single" w:color="DBEAFE" w:sz="1"/>
              <w:bottom w:val="single" w:color="DBEAFE" w:sz="1"/>
              <w:right w:val="single" w:color="DBEAFE" w:sz="1"/>
            </w:tcBorders>
            <w:shd w:fill="0F766E" w:val="clear"/>
            <w:tcMar>
              <w:top w:type="dxa" w:w="130"/>
              <w:left w:type="dxa" w:w="140"/>
              <w:bottom w:type="dxa" w:w="130"/>
              <w:right w:type="dxa" w:w="140"/>
            </w:tcMar>
          </w:tcPr>
          <w:p>
            <w:pPr>
              <w:spacing w:after="50"/>
            </w:pPr>
            <w:r>
              <w:rPr>
                <w:rFonts w:ascii="Arial" w:cs="Arial" w:eastAsia="Arial" w:hAnsi="Arial"/>
                <w:b/>
                <w:bCs/>
                <w:color w:val="FFFFFF"/>
                <w:sz w:val="21"/>
                <w:szCs w:val="21"/>
              </w:rPr>
              <w:t xml:space="preserve">4.3 — Scope</w:t>
            </w:r>
          </w:p>
          <w:p>
            <w:r>
              <w:rPr>
                <w:rFonts w:ascii="Georgia" w:cs="Georgia" w:eastAsia="Georgia" w:hAnsi="Georgia"/>
                <w:i/>
                <w:iCs/>
                <w:color w:val="D1FAE5"/>
                <w:sz w:val="19"/>
                <w:szCs w:val="19"/>
              </w:rPr>
              <w:t xml:space="preserve">ISMS boundary definition</w:t>
            </w:r>
          </w:p>
        </w:tc>
        <w:tc>
          <w:tcPr>
            <w:tcW w:type="dxa" w:w="2340"/>
            <w:tcBorders>
              <w:top w:val="single" w:color="DBEAFE" w:sz="1"/>
              <w:left w:val="single" w:color="DBEAFE" w:sz="1"/>
              <w:bottom w:val="single" w:color="DBEAFE" w:sz="1"/>
              <w:right w:val="single" w:color="DBEAFE" w:sz="1"/>
            </w:tcBorders>
            <w:shd w:fill="0E9F6E" w:val="clear"/>
            <w:tcMar>
              <w:top w:type="dxa" w:w="130"/>
              <w:left w:type="dxa" w:w="140"/>
              <w:bottom w:type="dxa" w:w="130"/>
              <w:right w:type="dxa" w:w="140"/>
            </w:tcMar>
          </w:tcPr>
          <w:p>
            <w:pPr>
              <w:spacing w:after="50"/>
            </w:pPr>
            <w:r>
              <w:rPr>
                <w:rFonts w:ascii="Arial" w:cs="Arial" w:eastAsia="Arial" w:hAnsi="Arial"/>
                <w:b/>
                <w:bCs/>
                <w:color w:val="FFFFFF"/>
                <w:sz w:val="21"/>
                <w:szCs w:val="21"/>
              </w:rPr>
              <w:t xml:space="preserve">4.4 — ISMS</w:t>
            </w:r>
          </w:p>
          <w:p>
            <w:r>
              <w:rPr>
                <w:rFonts w:ascii="Georgia" w:cs="Georgia" w:eastAsia="Georgia" w:hAnsi="Georgia"/>
                <w:i/>
                <w:iCs/>
                <w:color w:val="D1FAE5"/>
                <w:sz w:val="19"/>
                <w:szCs w:val="19"/>
              </w:rPr>
              <w:t xml:space="preserve">Establish, implement, maintain, improve</w:t>
            </w:r>
          </w:p>
        </w:tc>
      </w:tr>
    </w:tbl>
    <w:p>
      <w:pPr>
        <w:spacing w:after="160"/>
      </w:pPr>
      <w:r>
        <w:t xml:space="preserve"/>
      </w:r>
    </w:p>
    <w:p>
      <w:pPr>
        <w:spacing w:after="160" w:line="320"/>
        <w:jc w:val="both"/>
      </w:pPr>
      <w:r>
        <w:rPr>
          <w:rFonts w:ascii="Georgia" w:cs="Georgia" w:eastAsia="Georgia" w:hAnsi="Georgia"/>
          <w:color w:val="111827"/>
          <w:sz w:val="22"/>
          <w:szCs w:val="22"/>
        </w:rPr>
        <w:t xml:space="preserve">These four sub-clauses are not independent tasks — they form a logical sequence. You cannot define a sensible scope (4.3) without first understanding your context (4.1) and your stakeholders (4.2). And you cannot establish the ISMS (4.4) without a defined scope. The sequence matters.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4.1 — Understanding the Organization and Its Context</w:t>
      </w:r>
    </w:p>
    <w:p>
      <w:pPr>
        <w:spacing w:after="80"/>
      </w:pPr>
      <w:r>
        <w:t xml:space="preserve"/>
      </w:r>
    </w:p>
    <w:p>
      <w:pPr>
        <w:spacing w:after="160" w:line="320"/>
        <w:jc w:val="both"/>
      </w:pPr>
      <w:r>
        <w:rPr>
          <w:rFonts w:ascii="Georgia" w:cs="Georgia" w:eastAsia="Georgia" w:hAnsi="Georgia"/>
          <w:color w:val="111827"/>
          <w:sz w:val="22"/>
          <w:szCs w:val="22"/>
        </w:rPr>
        <w:t xml:space="preserve">The requirement is straightforward: the organization shall determine external and internal issues that are relevant to its purpose and that affect its ability to achieve the intended outcome of its ISMS. In plain language — before you can manage information security, you need to understand the environment you are managing it in.</w:t>
      </w:r>
    </w:p>
    <w:p>
      <w:pPr>
        <w:spacing w:after="80"/>
      </w:pPr>
      <w:r>
        <w:t xml:space="preserve"/>
      </w:r>
    </w:p>
    <w:p>
      <w:pPr>
        <w:spacing w:after="160" w:line="320"/>
        <w:jc w:val="both"/>
      </w:pPr>
      <w:r>
        <w:rPr>
          <w:rFonts w:ascii="Georgia" w:cs="Georgia" w:eastAsia="Georgia" w:hAnsi="Georgia"/>
          <w:color w:val="111827"/>
          <w:sz w:val="22"/>
          <w:szCs w:val="22"/>
        </w:rPr>
        <w:t xml:space="preserve">The key word is 'relevant'. ISO 27001 does not require an exhaustive environmental analysis of everything that could conceivably affect the organization. It requires a focused analysis of issues that specifically affect information security — the threats, pressures, capabilities, and constraints that shape what risks are real and what controls are feasible.</w:t>
      </w:r>
    </w:p>
    <w:p>
      <w:pPr>
        <w:spacing w:after="120"/>
      </w:pPr>
      <w:r>
        <w:t xml:space="preserve"/>
      </w:r>
    </w:p>
    <w:p>
      <w:pPr>
        <w:pStyle w:val="Heading3"/>
        <w:spacing w:after="120" w:before="280"/>
      </w:pPr>
      <w:r>
        <w:rPr>
          <w:rFonts w:ascii="Arial" w:cs="Arial" w:eastAsia="Arial" w:hAnsi="Arial"/>
          <w:b/>
          <w:bCs/>
          <w:color w:val="2563A8"/>
          <w:sz w:val="24"/>
          <w:szCs w:val="24"/>
        </w:rPr>
        <w:t xml:space="preserve">External Issues</w:t>
      </w:r>
    </w:p>
    <w:p>
      <w:pPr>
        <w:spacing w:after="80"/>
      </w:pPr>
      <w:r>
        <w:t xml:space="preserve"/>
      </w:r>
    </w:p>
    <w:p>
      <w:pPr>
        <w:spacing w:after="160" w:line="320"/>
        <w:jc w:val="both"/>
      </w:pPr>
      <w:r>
        <w:rPr>
          <w:rFonts w:ascii="Georgia" w:cs="Georgia" w:eastAsia="Georgia" w:hAnsi="Georgia"/>
          <w:color w:val="111827"/>
          <w:sz w:val="22"/>
          <w:szCs w:val="22"/>
        </w:rPr>
        <w:t xml:space="preserve">External issues are factors outside the organization's direct control that could affect its information security. They include the regulatory environment, the threat landscape, market expectations, technology trends, and the broader socioeconomic context. For Indonesian organizations in 2026, the external issue landscape is particularly active — UU PDP enforcement has changed the regulatory calculus, the threat landscape has shifted with increased targeting of financial services, and client expectations have risen sharply.</w:t>
      </w:r>
    </w:p>
    <w:p>
      <w:pPr>
        <w:spacing w:after="120"/>
      </w:pPr>
      <w:r>
        <w:t xml:space="preserve"/>
      </w:r>
    </w:p>
    <w:p>
      <w:pPr>
        <w:pStyle w:val="Heading3"/>
        <w:spacing w:after="120" w:before="280"/>
      </w:pPr>
      <w:r>
        <w:rPr>
          <w:rFonts w:ascii="Arial" w:cs="Arial" w:eastAsia="Arial" w:hAnsi="Arial"/>
          <w:b/>
          <w:bCs/>
          <w:color w:val="2563A8"/>
          <w:sz w:val="24"/>
          <w:szCs w:val="24"/>
        </w:rPr>
        <w:t xml:space="preserve">Internal Issues</w:t>
      </w:r>
    </w:p>
    <w:p>
      <w:pPr>
        <w:spacing w:after="80"/>
      </w:pPr>
      <w:r>
        <w:t xml:space="preserve"/>
      </w:r>
    </w:p>
    <w:p>
      <w:pPr>
        <w:spacing w:after="160" w:line="320"/>
        <w:jc w:val="both"/>
      </w:pPr>
      <w:r>
        <w:rPr>
          <w:rFonts w:ascii="Georgia" w:cs="Georgia" w:eastAsia="Georgia" w:hAnsi="Georgia"/>
          <w:color w:val="111827"/>
          <w:sz w:val="22"/>
          <w:szCs w:val="22"/>
        </w:rPr>
        <w:t xml:space="preserve">Internal issues are factors within the organization that affect its ability to protect information. They include organizational structure and culture, existing technology and technical debt, process maturity, staff competence, leadership attitudes, and strategic direction. Internal issues are often more uncomfortable to document than external ones — they require honest self-assessment about weaknesses and gaps.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Category</w:t>
            </w:r>
          </w:p>
        </w:tc>
        <w:tc>
          <w:tcPr>
            <w:tcW w:type="dxa" w:w="736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Examples relevant to Indonesian regulated organizations</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EXTERNAL ISSUES — Outside the organization's direct control</w:t>
            </w:r>
          </w:p>
        </w:tc>
      </w:tr>
      <w:tr>
        <w:tc>
          <w:tcPr>
            <w:tcW w:type="dxa" w:w="2000"/>
            <w:tcBorders>
              <w:top w:val="single" w:color="DBEAFE" w:sz="1"/>
              <w:left w:val="single" w:color="DBEAFE" w:sz="1"/>
              <w:bottom w:val="single" w:color="DBEAFE" w:sz="1"/>
              <w:right w:val="single" w:color="DBEAFE" w:sz="1"/>
            </w:tcBorders>
            <w:shd w:fill="3730A3" w:val="clear"/>
            <w:tcMar>
              <w:top w:type="dxa" w:w="90"/>
              <w:left w:type="dxa" w:w="130"/>
              <w:bottom w:type="dxa" w:w="90"/>
              <w:right w:type="dxa" w:w="130"/>
            </w:tcMar>
          </w:tcPr>
          <w:p>
            <w:r>
              <w:rPr>
                <w:rFonts w:ascii="Arial" w:cs="Arial" w:eastAsia="Arial" w:hAnsi="Arial"/>
                <w:b/>
                <w:bCs/>
                <w:color w:val="FFFFFF"/>
                <w:sz w:val="20"/>
                <w:szCs w:val="20"/>
              </w:rPr>
              <w:t xml:space="preserve">Regulatory &amp; Legal</w:t>
            </w:r>
          </w:p>
        </w:tc>
        <w:tc>
          <w:tcPr>
            <w:tcW w:type="dxa" w:w="7360"/>
            <w:tcBorders>
              <w:top w:val="single" w:color="DBEAFE" w:sz="1"/>
              <w:left w:val="single" w:color="DBEAFE" w:sz="1"/>
              <w:bottom w:val="single" w:color="DBEAFE" w:sz="1"/>
              <w:right w:val="single" w:color="DBEAFE" w:sz="1"/>
            </w:tcBorders>
            <w:shd w:fill="EEF2FF" w:val="clear"/>
            <w:tcMar>
              <w:top w:type="dxa" w:w="90"/>
              <w:left w:type="dxa" w:w="130"/>
              <w:bottom w:type="dxa" w:w="90"/>
              <w:right w:type="dxa" w:w="130"/>
            </w:tcMar>
          </w:tcPr>
          <w:p>
            <w:r>
              <w:rPr>
                <w:rFonts w:ascii="Georgia" w:cs="Georgia" w:eastAsia="Georgia" w:hAnsi="Georgia"/>
                <w:color w:val="111827"/>
                <w:sz w:val="20"/>
                <w:szCs w:val="20"/>
              </w:rPr>
              <w:t xml:space="preserve">UU PDP enforcement, POJK IT governance circulars, Bank Indonesia payment system regulations, BSSN security directives, upcoming AI governance frameworks</w:t>
            </w:r>
          </w:p>
        </w:tc>
      </w:tr>
      <w:tr>
        <w:tc>
          <w:tcPr>
            <w:tcW w:type="dxa" w:w="2000"/>
            <w:tcBorders>
              <w:top w:val="single" w:color="DBEAFE" w:sz="1"/>
              <w:left w:val="single" w:color="DBEAFE" w:sz="1"/>
              <w:bottom w:val="single" w:color="DBEAFE" w:sz="1"/>
              <w:right w:val="single" w:color="DBEAFE" w:sz="1"/>
            </w:tcBorders>
            <w:shd w:fill="3730A3" w:val="clear"/>
            <w:tcMar>
              <w:top w:type="dxa" w:w="90"/>
              <w:left w:type="dxa" w:w="130"/>
              <w:bottom w:type="dxa" w:w="90"/>
              <w:right w:type="dxa" w:w="130"/>
            </w:tcMar>
          </w:tcPr>
          <w:p>
            <w:r>
              <w:rPr>
                <w:rFonts w:ascii="Arial" w:cs="Arial" w:eastAsia="Arial" w:hAnsi="Arial"/>
                <w:b/>
                <w:bCs/>
                <w:color w:val="FFFFFF"/>
                <w:sz w:val="20"/>
                <w:szCs w:val="20"/>
              </w:rPr>
              <w:t xml:space="preserve">Market &amp; Competitive</w:t>
            </w:r>
          </w:p>
        </w:tc>
        <w:tc>
          <w:tcPr>
            <w:tcW w:type="dxa" w:w="7360"/>
            <w:tcBorders>
              <w:top w:val="single" w:color="DBEAFE" w:sz="1"/>
              <w:left w:val="single" w:color="DBEAFE" w:sz="1"/>
              <w:bottom w:val="single" w:color="DBEAFE" w:sz="1"/>
              <w:right w:val="single" w:color="DBEAFE" w:sz="1"/>
            </w:tcBorders>
            <w:shd w:fill="FAFAFE" w:val="clear"/>
            <w:tcMar>
              <w:top w:type="dxa" w:w="90"/>
              <w:left w:type="dxa" w:w="130"/>
              <w:bottom w:type="dxa" w:w="90"/>
              <w:right w:type="dxa" w:w="130"/>
            </w:tcMar>
          </w:tcPr>
          <w:p>
            <w:r>
              <w:rPr>
                <w:rFonts w:ascii="Georgia" w:cs="Georgia" w:eastAsia="Georgia" w:hAnsi="Georgia"/>
                <w:color w:val="111827"/>
                <w:sz w:val="20"/>
                <w:szCs w:val="20"/>
              </w:rPr>
              <w:t xml:space="preserve">Client security expectations evolving, competitors certifying, enterprise procurement requirements tightening, international market entry requirements</w:t>
            </w:r>
          </w:p>
        </w:tc>
      </w:tr>
      <w:tr>
        <w:tc>
          <w:tcPr>
            <w:tcW w:type="dxa" w:w="2000"/>
            <w:tcBorders>
              <w:top w:val="single" w:color="DBEAFE" w:sz="1"/>
              <w:left w:val="single" w:color="DBEAFE" w:sz="1"/>
              <w:bottom w:val="single" w:color="DBEAFE" w:sz="1"/>
              <w:right w:val="single" w:color="DBEAFE" w:sz="1"/>
            </w:tcBorders>
            <w:shd w:fill="0F766E" w:val="clear"/>
            <w:tcMar>
              <w:top w:type="dxa" w:w="90"/>
              <w:left w:type="dxa" w:w="130"/>
              <w:bottom w:type="dxa" w:w="90"/>
              <w:right w:type="dxa" w:w="130"/>
            </w:tcMar>
          </w:tcPr>
          <w:p>
            <w:r>
              <w:rPr>
                <w:rFonts w:ascii="Arial" w:cs="Arial" w:eastAsia="Arial" w:hAnsi="Arial"/>
                <w:b/>
                <w:bCs/>
                <w:color w:val="FFFFFF"/>
                <w:sz w:val="20"/>
                <w:szCs w:val="20"/>
              </w:rPr>
              <w:t xml:space="preserve">Technology</w:t>
            </w:r>
          </w:p>
        </w:tc>
        <w:tc>
          <w:tcPr>
            <w:tcW w:type="dxa" w:w="7360"/>
            <w:tcBorders>
              <w:top w:val="single" w:color="DBEAFE" w:sz="1"/>
              <w:left w:val="single" w:color="DBEAFE" w:sz="1"/>
              <w:bottom w:val="single" w:color="DBEAFE" w:sz="1"/>
              <w:right w:val="single" w:color="DBEAFE" w:sz="1"/>
            </w:tcBorders>
            <w:shd w:fill="EEF2FF" w:val="clear"/>
            <w:tcMar>
              <w:top w:type="dxa" w:w="90"/>
              <w:left w:type="dxa" w:w="130"/>
              <w:bottom w:type="dxa" w:w="90"/>
              <w:right w:type="dxa" w:w="130"/>
            </w:tcMar>
          </w:tcPr>
          <w:p>
            <w:r>
              <w:rPr>
                <w:rFonts w:ascii="Georgia" w:cs="Georgia" w:eastAsia="Georgia" w:hAnsi="Georgia"/>
                <w:color w:val="111827"/>
                <w:sz w:val="20"/>
                <w:szCs w:val="20"/>
              </w:rPr>
              <w:t xml:space="preserve">Cloud adoption accelerating, AI integration creating new attack surfaces, mobile-first services expanding data exposure, supply chain attack patterns increasing</w:t>
            </w:r>
          </w:p>
        </w:tc>
      </w:tr>
      <w:tr>
        <w:tc>
          <w:tcPr>
            <w:tcW w:type="dxa" w:w="2000"/>
            <w:tcBorders>
              <w:top w:val="single" w:color="DBEAFE" w:sz="1"/>
              <w:left w:val="single" w:color="DBEAFE" w:sz="1"/>
              <w:bottom w:val="single" w:color="DBEAFE" w:sz="1"/>
              <w:right w:val="single" w:color="DBEAFE" w:sz="1"/>
            </w:tcBorders>
            <w:shd w:fill="991B1B" w:val="clear"/>
            <w:tcMar>
              <w:top w:type="dxa" w:w="90"/>
              <w:left w:type="dxa" w:w="130"/>
              <w:bottom w:type="dxa" w:w="90"/>
              <w:right w:type="dxa" w:w="130"/>
            </w:tcMar>
          </w:tcPr>
          <w:p>
            <w:r>
              <w:rPr>
                <w:rFonts w:ascii="Arial" w:cs="Arial" w:eastAsia="Arial" w:hAnsi="Arial"/>
                <w:b/>
                <w:bCs/>
                <w:color w:val="FFFFFF"/>
                <w:sz w:val="20"/>
                <w:szCs w:val="20"/>
              </w:rPr>
              <w:t xml:space="preserve">Threat Landscape</w:t>
            </w:r>
          </w:p>
        </w:tc>
        <w:tc>
          <w:tcPr>
            <w:tcW w:type="dxa" w:w="7360"/>
            <w:tcBorders>
              <w:top w:val="single" w:color="DBEAFE" w:sz="1"/>
              <w:left w:val="single" w:color="DBEAFE" w:sz="1"/>
              <w:bottom w:val="single" w:color="DBEAFE" w:sz="1"/>
              <w:right w:val="single" w:color="DBEAFE" w:sz="1"/>
            </w:tcBorders>
            <w:shd w:fill="FAFAFE" w:val="clear"/>
            <w:tcMar>
              <w:top w:type="dxa" w:w="90"/>
              <w:left w:type="dxa" w:w="130"/>
              <w:bottom w:type="dxa" w:w="90"/>
              <w:right w:type="dxa" w:w="130"/>
            </w:tcMar>
          </w:tcPr>
          <w:p>
            <w:r>
              <w:rPr>
                <w:rFonts w:ascii="Georgia" w:cs="Georgia" w:eastAsia="Georgia" w:hAnsi="Georgia"/>
                <w:color w:val="111827"/>
                <w:sz w:val="20"/>
                <w:szCs w:val="20"/>
              </w:rPr>
              <w:t xml:space="preserve">Ransomware targeting Indonesian financial institutions, business email compromise, insider threats in high-turnover industries, third-party and supplier breaches</w:t>
            </w:r>
          </w:p>
        </w:tc>
      </w:tr>
      <w:tr>
        <w:tc>
          <w:tcPr>
            <w:tcW w:type="dxa" w:w="2000"/>
            <w:tcBorders>
              <w:top w:val="single" w:color="DBEAFE" w:sz="1"/>
              <w:left w:val="single" w:color="DBEAFE" w:sz="1"/>
              <w:bottom w:val="single" w:color="DBEAFE" w:sz="1"/>
              <w:right w:val="single" w:color="DBEAFE" w:sz="1"/>
            </w:tcBorders>
            <w:shd w:fill="B45309" w:val="clear"/>
            <w:tcMar>
              <w:top w:type="dxa" w:w="90"/>
              <w:left w:type="dxa" w:w="130"/>
              <w:bottom w:type="dxa" w:w="90"/>
              <w:right w:type="dxa" w:w="130"/>
            </w:tcMar>
          </w:tcPr>
          <w:p>
            <w:r>
              <w:rPr>
                <w:rFonts w:ascii="Arial" w:cs="Arial" w:eastAsia="Arial" w:hAnsi="Arial"/>
                <w:b/>
                <w:bCs/>
                <w:color w:val="FFFFFF"/>
                <w:sz w:val="20"/>
                <w:szCs w:val="20"/>
              </w:rPr>
              <w:t xml:space="preserve">Socioeconomic</w:t>
            </w:r>
          </w:p>
        </w:tc>
        <w:tc>
          <w:tcPr>
            <w:tcW w:type="dxa" w:w="7360"/>
            <w:tcBorders>
              <w:top w:val="single" w:color="DBEAFE" w:sz="1"/>
              <w:left w:val="single" w:color="DBEAFE" w:sz="1"/>
              <w:bottom w:val="single" w:color="DBEAFE" w:sz="1"/>
              <w:right w:val="single" w:color="DBEAFE" w:sz="1"/>
            </w:tcBorders>
            <w:shd w:fill="EEF2FF" w:val="clear"/>
            <w:tcMar>
              <w:top w:type="dxa" w:w="90"/>
              <w:left w:type="dxa" w:w="130"/>
              <w:bottom w:type="dxa" w:w="90"/>
              <w:right w:type="dxa" w:w="130"/>
            </w:tcMar>
          </w:tcPr>
          <w:p>
            <w:r>
              <w:rPr>
                <w:rFonts w:ascii="Georgia" w:cs="Georgia" w:eastAsia="Georgia" w:hAnsi="Georgia"/>
                <w:color w:val="111827"/>
                <w:sz w:val="20"/>
                <w:szCs w:val="20"/>
              </w:rPr>
              <w:t xml:space="preserve">Digital financial inclusion initiatives increasing sensitive data volumes, remote work normalizing new endpoint risks, economic pressures affecting security staffing</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INTERNAL ISSUES — Within the organization's control or influence</w:t>
            </w:r>
          </w:p>
        </w:tc>
      </w:tr>
      <w:tr>
        <w:tc>
          <w:tcPr>
            <w:tcW w:type="dxa" w:w="2000"/>
            <w:tcBorders>
              <w:top w:val="single" w:color="DBEAFE" w:sz="1"/>
              <w:left w:val="single" w:color="DBEAFE" w:sz="1"/>
              <w:bottom w:val="single" w:color="DBEAFE" w:sz="1"/>
              <w:right w:val="single" w:color="DBEAFE" w:sz="1"/>
            </w:tcBorders>
            <w:shd w:fill="2563A8" w:val="clear"/>
            <w:tcMar>
              <w:top w:type="dxa" w:w="90"/>
              <w:left w:type="dxa" w:w="130"/>
              <w:bottom w:type="dxa" w:w="90"/>
              <w:right w:type="dxa" w:w="130"/>
            </w:tcMar>
          </w:tcPr>
          <w:p>
            <w:r>
              <w:rPr>
                <w:rFonts w:ascii="Arial" w:cs="Arial" w:eastAsia="Arial" w:hAnsi="Arial"/>
                <w:b/>
                <w:bCs/>
                <w:color w:val="FFFFFF"/>
                <w:sz w:val="20"/>
                <w:szCs w:val="20"/>
              </w:rPr>
              <w:t xml:space="preserve">Organizational</w:t>
            </w:r>
          </w:p>
        </w:tc>
        <w:tc>
          <w:tcPr>
            <w:tcW w:type="dxa" w:w="7360"/>
            <w:tcBorders>
              <w:top w:val="single" w:color="DBEAFE" w:sz="1"/>
              <w:left w:val="single" w:color="DBEAFE" w:sz="1"/>
              <w:bottom w:val="single" w:color="DBEAFE" w:sz="1"/>
              <w:right w:val="single" w:color="DBEAFE" w:sz="1"/>
            </w:tcBorders>
            <w:shd w:fill="EBF2FB" w:val="clear"/>
            <w:tcMar>
              <w:top w:type="dxa" w:w="90"/>
              <w:left w:type="dxa" w:w="130"/>
              <w:bottom w:type="dxa" w:w="90"/>
              <w:right w:type="dxa" w:w="130"/>
            </w:tcMar>
          </w:tcPr>
          <w:p>
            <w:r>
              <w:rPr>
                <w:rFonts w:ascii="Georgia" w:cs="Georgia" w:eastAsia="Georgia" w:hAnsi="Georgia"/>
                <w:color w:val="111827"/>
                <w:sz w:val="20"/>
                <w:szCs w:val="20"/>
              </w:rPr>
              <w:t xml:space="preserve">Organizational structure, reporting lines, decision-making processes, culture toward security and compliance, history of security incidents</w:t>
            </w:r>
          </w:p>
        </w:tc>
      </w:tr>
      <w:tr>
        <w:tc>
          <w:tcPr>
            <w:tcW w:type="dxa" w:w="2000"/>
            <w:tcBorders>
              <w:top w:val="single" w:color="DBEAFE" w:sz="1"/>
              <w:left w:val="single" w:color="DBEAFE" w:sz="1"/>
              <w:bottom w:val="single" w:color="DBEAFE" w:sz="1"/>
              <w:right w:val="single" w:color="DBEAFE" w:sz="1"/>
            </w:tcBorders>
            <w:shd w:fill="6D28D9" w:val="clear"/>
            <w:tcMar>
              <w:top w:type="dxa" w:w="90"/>
              <w:left w:type="dxa" w:w="130"/>
              <w:bottom w:type="dxa" w:w="90"/>
              <w:right w:type="dxa" w:w="130"/>
            </w:tcMar>
          </w:tcPr>
          <w:p>
            <w:r>
              <w:rPr>
                <w:rFonts w:ascii="Arial" w:cs="Arial" w:eastAsia="Arial" w:hAnsi="Arial"/>
                <w:b/>
                <w:bCs/>
                <w:color w:val="FFFFFF"/>
                <w:sz w:val="20"/>
                <w:szCs w:val="20"/>
              </w:rPr>
              <w:t xml:space="preserve">People &amp; Culture</w:t>
            </w:r>
          </w:p>
        </w:tc>
        <w:tc>
          <w:tcPr>
            <w:tcW w:type="dxa" w:w="7360"/>
            <w:tcBorders>
              <w:top w:val="single" w:color="DBEAFE" w:sz="1"/>
              <w:left w:val="single" w:color="DBEAFE" w:sz="1"/>
              <w:bottom w:val="single" w:color="DBEAFE" w:sz="1"/>
              <w:right w:val="single" w:color="DBEAFE" w:sz="1"/>
            </w:tcBorders>
            <w:shd w:fill="F0F7FF" w:val="clear"/>
            <w:tcMar>
              <w:top w:type="dxa" w:w="90"/>
              <w:left w:type="dxa" w:w="130"/>
              <w:bottom w:type="dxa" w:w="90"/>
              <w:right w:type="dxa" w:w="130"/>
            </w:tcMar>
          </w:tcPr>
          <w:p>
            <w:r>
              <w:rPr>
                <w:rFonts w:ascii="Georgia" w:cs="Georgia" w:eastAsia="Georgia" w:hAnsi="Georgia"/>
                <w:color w:val="111827"/>
                <w:sz w:val="20"/>
                <w:szCs w:val="20"/>
              </w:rPr>
              <w:t xml:space="preserve">Security awareness maturity, staff turnover rates, competence in security roles, management attitudes toward security investment, security champions program</w:t>
            </w:r>
          </w:p>
        </w:tc>
      </w:tr>
      <w:tr>
        <w:tc>
          <w:tcPr>
            <w:tcW w:type="dxa" w:w="2000"/>
            <w:tcBorders>
              <w:top w:val="single" w:color="DBEAFE" w:sz="1"/>
              <w:left w:val="single" w:color="DBEAFE" w:sz="1"/>
              <w:bottom w:val="single" w:color="DBEAFE" w:sz="1"/>
              <w:right w:val="single" w:color="DBEAFE" w:sz="1"/>
            </w:tcBorders>
            <w:shd w:fill="0F766E" w:val="clear"/>
            <w:tcMar>
              <w:top w:type="dxa" w:w="90"/>
              <w:left w:type="dxa" w:w="130"/>
              <w:bottom w:type="dxa" w:w="90"/>
              <w:right w:type="dxa" w:w="130"/>
            </w:tcMar>
          </w:tcPr>
          <w:p>
            <w:r>
              <w:rPr>
                <w:rFonts w:ascii="Arial" w:cs="Arial" w:eastAsia="Arial" w:hAnsi="Arial"/>
                <w:b/>
                <w:bCs/>
                <w:color w:val="FFFFFF"/>
                <w:sz w:val="20"/>
                <w:szCs w:val="20"/>
              </w:rPr>
              <w:t xml:space="preserve">Technology &amp; Systems</w:t>
            </w:r>
          </w:p>
        </w:tc>
        <w:tc>
          <w:tcPr>
            <w:tcW w:type="dxa" w:w="7360"/>
            <w:tcBorders>
              <w:top w:val="single" w:color="DBEAFE" w:sz="1"/>
              <w:left w:val="single" w:color="DBEAFE" w:sz="1"/>
              <w:bottom w:val="single" w:color="DBEAFE" w:sz="1"/>
              <w:right w:val="single" w:color="DBEAFE" w:sz="1"/>
            </w:tcBorders>
            <w:shd w:fill="EBF2FB" w:val="clear"/>
            <w:tcMar>
              <w:top w:type="dxa" w:w="90"/>
              <w:left w:type="dxa" w:w="130"/>
              <w:bottom w:type="dxa" w:w="90"/>
              <w:right w:type="dxa" w:w="130"/>
            </w:tcMar>
          </w:tcPr>
          <w:p>
            <w:r>
              <w:rPr>
                <w:rFonts w:ascii="Georgia" w:cs="Georgia" w:eastAsia="Georgia" w:hAnsi="Georgia"/>
                <w:color w:val="111827"/>
                <w:sz w:val="20"/>
                <w:szCs w:val="20"/>
              </w:rPr>
              <w:t xml:space="preserve">Current security architecture, legacy system dependencies, cloud vs. on-premise split, technical debt, system integration complexity</w:t>
            </w:r>
          </w:p>
        </w:tc>
      </w:tr>
      <w:tr>
        <w:tc>
          <w:tcPr>
            <w:tcW w:type="dxa" w:w="2000"/>
            <w:tcBorders>
              <w:top w:val="single" w:color="DBEAFE" w:sz="1"/>
              <w:left w:val="single" w:color="DBEAFE" w:sz="1"/>
              <w:bottom w:val="single" w:color="DBEAFE" w:sz="1"/>
              <w:right w:val="single" w:color="DBEAFE" w:sz="1"/>
            </w:tcBorders>
            <w:shd w:fill="0E9F6E" w:val="clear"/>
            <w:tcMar>
              <w:top w:type="dxa" w:w="90"/>
              <w:left w:type="dxa" w:w="130"/>
              <w:bottom w:type="dxa" w:w="90"/>
              <w:right w:type="dxa" w:w="130"/>
            </w:tcMar>
          </w:tcPr>
          <w:p>
            <w:r>
              <w:rPr>
                <w:rFonts w:ascii="Arial" w:cs="Arial" w:eastAsia="Arial" w:hAnsi="Arial"/>
                <w:b/>
                <w:bCs/>
                <w:color w:val="FFFFFF"/>
                <w:sz w:val="20"/>
                <w:szCs w:val="20"/>
              </w:rPr>
              <w:t xml:space="preserve">Processes</w:t>
            </w:r>
          </w:p>
        </w:tc>
        <w:tc>
          <w:tcPr>
            <w:tcW w:type="dxa" w:w="7360"/>
            <w:tcBorders>
              <w:top w:val="single" w:color="DBEAFE" w:sz="1"/>
              <w:left w:val="single" w:color="DBEAFE" w:sz="1"/>
              <w:bottom w:val="single" w:color="DBEAFE" w:sz="1"/>
              <w:right w:val="single" w:color="DBEAFE" w:sz="1"/>
            </w:tcBorders>
            <w:shd w:fill="F0F7FF" w:val="clear"/>
            <w:tcMar>
              <w:top w:type="dxa" w:w="90"/>
              <w:left w:type="dxa" w:w="130"/>
              <w:bottom w:type="dxa" w:w="90"/>
              <w:right w:type="dxa" w:w="130"/>
            </w:tcMar>
          </w:tcPr>
          <w:p>
            <w:r>
              <w:rPr>
                <w:rFonts w:ascii="Georgia" w:cs="Georgia" w:eastAsia="Georgia" w:hAnsi="Georgia"/>
                <w:color w:val="111827"/>
                <w:sz w:val="20"/>
                <w:szCs w:val="20"/>
              </w:rPr>
              <w:t xml:space="preserve">Change management maturity, software development security practices, vendor onboarding processes, incident response capability, data classification practices</w:t>
            </w:r>
          </w:p>
        </w:tc>
      </w:tr>
      <w:tr>
        <w:tc>
          <w:tcPr>
            <w:tcW w:type="dxa" w:w="2000"/>
            <w:tcBorders>
              <w:top w:val="single" w:color="DBEAFE" w:sz="1"/>
              <w:left w:val="single" w:color="DBEAFE" w:sz="1"/>
              <w:bottom w:val="single" w:color="DBEAFE" w:sz="1"/>
              <w:right w:val="single" w:color="DBEAFE" w:sz="1"/>
            </w:tcBorders>
            <w:shd w:fill="334155" w:val="clear"/>
            <w:tcMar>
              <w:top w:type="dxa" w:w="90"/>
              <w:left w:type="dxa" w:w="130"/>
              <w:bottom w:type="dxa" w:w="90"/>
              <w:right w:type="dxa" w:w="130"/>
            </w:tcMar>
          </w:tcPr>
          <w:p>
            <w:r>
              <w:rPr>
                <w:rFonts w:ascii="Arial" w:cs="Arial" w:eastAsia="Arial" w:hAnsi="Arial"/>
                <w:b/>
                <w:bCs/>
                <w:color w:val="FFFFFF"/>
                <w:sz w:val="20"/>
                <w:szCs w:val="20"/>
              </w:rPr>
              <w:t xml:space="preserve">Strategic</w:t>
            </w:r>
          </w:p>
        </w:tc>
        <w:tc>
          <w:tcPr>
            <w:tcW w:type="dxa" w:w="7360"/>
            <w:tcBorders>
              <w:top w:val="single" w:color="DBEAFE" w:sz="1"/>
              <w:left w:val="single" w:color="DBEAFE" w:sz="1"/>
              <w:bottom w:val="single" w:color="DBEAFE" w:sz="1"/>
              <w:right w:val="single" w:color="DBEAFE" w:sz="1"/>
            </w:tcBorders>
            <w:shd w:fill="EBF2FB" w:val="clear"/>
            <w:tcMar>
              <w:top w:type="dxa" w:w="90"/>
              <w:left w:type="dxa" w:w="130"/>
              <w:bottom w:type="dxa" w:w="90"/>
              <w:right w:type="dxa" w:w="130"/>
            </w:tcMar>
          </w:tcPr>
          <w:p>
            <w:r>
              <w:rPr>
                <w:rFonts w:ascii="Georgia" w:cs="Georgia" w:eastAsia="Georgia" w:hAnsi="Georgia"/>
                <w:color w:val="111827"/>
                <w:sz w:val="20"/>
                <w:szCs w:val="20"/>
              </w:rPr>
              <w:t xml:space="preserve">Business growth strategy and its information security implications, product roadmap security requirements, M&amp;A activity, new market entry security considerations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AUDITOR PERSPECTIVE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Auditors do not expect a perfect context analysis — they expect an honest one. The most common weakness they find is a generic list of issues that could apply to any organization in any industry. A strong Clause 4.1 output is specific: it names actual regulations by number, identifies real threat actors relevant to the sector, describes genuine internal capability gaps, and shows how these issues connect to the risk assessment that follows.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How to Document Clause 4.1</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mandate a specific format for context analysis. Common approaches include a PESTLE analysis (Political, Economic, Social, Technological, Legal, Environmental) for external issues, a SWOT analysis for the combination of internal and external factors, or a structured issues register with category, description, and relevance to information security. What matters is that the output is specific, current, and demonstrably connected to the risk assessment.</w:t>
      </w:r>
    </w:p>
    <w:p>
      <w:pPr>
        <w:spacing w:after="80"/>
      </w:pPr>
      <w:r>
        <w:t xml:space="preserve"/>
      </w:r>
    </w:p>
    <w:p>
      <w:pPr>
        <w:spacing w:after="160" w:line="320"/>
        <w:jc w:val="both"/>
      </w:pPr>
      <w:r>
        <w:rPr>
          <w:rFonts w:ascii="Georgia" w:cs="Georgia" w:eastAsia="Georgia" w:hAnsi="Georgia"/>
          <w:color w:val="111827"/>
          <w:sz w:val="22"/>
          <w:szCs w:val="22"/>
        </w:rPr>
        <w:t xml:space="preserve">The context analysis should be reviewed and updated at defined intervals — typically annually or when significant changes occur. If a new regulation comes into force, a major security incident occurs in the sector, or the organization enters a new market, the context analysis should be updated to reflect the new reality. A context analysis that was written at ISMS launch and never revised is a red flag for auditors.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4.2 — Understanding Needs and Expectations of Interested Parties</w:t>
      </w:r>
    </w:p>
    <w:p>
      <w:pPr>
        <w:spacing w:after="80"/>
      </w:pPr>
      <w:r>
        <w:t xml:space="preserve"/>
      </w:r>
    </w:p>
    <w:p>
      <w:pPr>
        <w:spacing w:after="160" w:line="320"/>
        <w:jc w:val="both"/>
      </w:pPr>
      <w:r>
        <w:rPr>
          <w:rFonts w:ascii="Georgia" w:cs="Georgia" w:eastAsia="Georgia" w:hAnsi="Georgia"/>
          <w:color w:val="111827"/>
          <w:sz w:val="22"/>
          <w:szCs w:val="22"/>
        </w:rPr>
        <w:t xml:space="preserve">Clause 4.2 requires the organization to identify the interested parties relevant to its ISMS and to understand their requirements. This is more than a stakeholder mapping exercise — it is the foundation for understanding what 'good information security' actually means for your specific organization, as defined by the people and entities who depend on it or are affected by it.</w:t>
      </w:r>
    </w:p>
    <w:p>
      <w:pPr>
        <w:spacing w:after="80"/>
      </w:pPr>
      <w:r>
        <w:t xml:space="preserve"/>
      </w:r>
    </w:p>
    <w:p>
      <w:pPr>
        <w:spacing w:after="160" w:line="320"/>
        <w:jc w:val="both"/>
      </w:pPr>
      <w:r>
        <w:rPr>
          <w:rFonts w:ascii="Georgia" w:cs="Georgia" w:eastAsia="Georgia" w:hAnsi="Georgia"/>
          <w:color w:val="111827"/>
          <w:sz w:val="22"/>
          <w:szCs w:val="22"/>
        </w:rPr>
        <w:t xml:space="preserve">The standard is explicit: not every stakeholder is an interested party. Only those whose requirements are relevant to information security — either because they impose requirements on the organization or because they could be materially affected by the organization's security decisions — qualify. The distinction matters because the interested parties list directly informs scope, risk assessment scope, and control selection.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200"/>
        <w:gridCol w:w="4560"/>
        <w:gridCol w:w="120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Interested Party</w:t>
            </w:r>
          </w:p>
        </w:tc>
        <w:tc>
          <w:tcPr>
            <w:tcW w:type="dxa" w:w="1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Type</w:t>
            </w:r>
          </w:p>
        </w:tc>
        <w:tc>
          <w:tcPr>
            <w:tcW w:type="dxa" w:w="45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Key information security requirements</w:t>
            </w:r>
          </w:p>
        </w:tc>
        <w:tc>
          <w:tcPr>
            <w:tcW w:type="dxa" w:w="12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Impact level</w:t>
            </w:r>
          </w:p>
        </w:tc>
      </w:tr>
      <w:tr>
        <w:tc>
          <w:tcPr>
            <w:tcW w:type="dxa" w:w="2400"/>
            <w:tcBorders>
              <w:top w:val="single" w:color="DBEAFE" w:sz="1"/>
              <w:left w:val="single" w:color="DBEAFE" w:sz="1"/>
              <w:bottom w:val="single" w:color="DBEAFE" w:sz="1"/>
              <w:right w:val="single" w:color="DBEAFE" w:sz="1"/>
            </w:tcBorders>
            <w:shd w:fill="FEF2F2" w:val="clear"/>
            <w:tcMar>
              <w:top w:type="dxa" w:w="90"/>
              <w:left w:type="dxa" w:w="120"/>
              <w:bottom w:type="dxa" w:w="90"/>
              <w:right w:type="dxa" w:w="120"/>
            </w:tcMar>
          </w:tcPr>
          <w:p>
            <w:r>
              <w:rPr>
                <w:rFonts w:ascii="Arial" w:cs="Arial" w:eastAsia="Arial" w:hAnsi="Arial"/>
                <w:b/>
                <w:bCs/>
                <w:color w:val="991B1B"/>
                <w:sz w:val="19"/>
                <w:szCs w:val="19"/>
              </w:rPr>
              <w:t xml:space="preserve">Bank Indonesia (BI)</w:t>
            </w:r>
          </w:p>
        </w:tc>
        <w:tc>
          <w:tcPr>
            <w:tcW w:type="dxa" w:w="12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Regulator</w:t>
            </w:r>
          </w:p>
        </w:tc>
        <w:tc>
          <w:tcPr>
            <w:tcW w:type="dxa" w:w="456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PBI No. 23/6/PBI/2021 compliance — IT security, data protection, incident reporting for payment operators</w:t>
            </w:r>
          </w:p>
        </w:tc>
        <w:tc>
          <w:tcPr>
            <w:tcW w:type="dxa" w:w="120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High</w:t>
            </w:r>
          </w:p>
        </w:tc>
      </w:tr>
      <w:tr>
        <w:tc>
          <w:tcPr>
            <w:tcW w:type="dxa" w:w="2400"/>
            <w:tcBorders>
              <w:top w:val="single" w:color="DBEAFE" w:sz="1"/>
              <w:left w:val="single" w:color="DBEAFE" w:sz="1"/>
              <w:bottom w:val="single" w:color="DBEAFE" w:sz="1"/>
              <w:right w:val="single" w:color="DBEAFE" w:sz="1"/>
            </w:tcBorders>
            <w:shd w:fill="FEF2F2" w:val="clear"/>
            <w:tcMar>
              <w:top w:type="dxa" w:w="90"/>
              <w:left w:type="dxa" w:w="120"/>
              <w:bottom w:type="dxa" w:w="90"/>
              <w:right w:type="dxa" w:w="120"/>
            </w:tcMar>
          </w:tcPr>
          <w:p>
            <w:r>
              <w:rPr>
                <w:rFonts w:ascii="Arial" w:cs="Arial" w:eastAsia="Arial" w:hAnsi="Arial"/>
                <w:b/>
                <w:bCs/>
                <w:color w:val="991B1B"/>
                <w:sz w:val="19"/>
                <w:szCs w:val="19"/>
              </w:rPr>
              <w:t xml:space="preserve">OJK (Otoritas Jasa Keuangan)</w:t>
            </w:r>
          </w:p>
        </w:tc>
        <w:tc>
          <w:tcPr>
            <w:tcW w:type="dxa" w:w="12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Regulator</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POJK IT governance requirements — risk management framework, information security controls, audit cooperation</w:t>
            </w:r>
          </w:p>
        </w:tc>
        <w:tc>
          <w:tcPr>
            <w:tcW w:type="dxa" w:w="120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High</w:t>
            </w:r>
          </w:p>
        </w:tc>
      </w:tr>
      <w:tr>
        <w:tc>
          <w:tcPr>
            <w:tcW w:type="dxa" w:w="2400"/>
            <w:tcBorders>
              <w:top w:val="single" w:color="DBEAFE" w:sz="1"/>
              <w:left w:val="single" w:color="DBEAFE" w:sz="1"/>
              <w:bottom w:val="single" w:color="DBEAFE" w:sz="1"/>
              <w:right w:val="single" w:color="DBEAFE" w:sz="1"/>
            </w:tcBorders>
            <w:shd w:fill="FEF2F2" w:val="clear"/>
            <w:tcMar>
              <w:top w:type="dxa" w:w="90"/>
              <w:left w:type="dxa" w:w="120"/>
              <w:bottom w:type="dxa" w:w="90"/>
              <w:right w:type="dxa" w:w="120"/>
            </w:tcMar>
          </w:tcPr>
          <w:p>
            <w:r>
              <w:rPr>
                <w:rFonts w:ascii="Arial" w:cs="Arial" w:eastAsia="Arial" w:hAnsi="Arial"/>
                <w:b/>
                <w:bCs/>
                <w:color w:val="991B1B"/>
                <w:sz w:val="19"/>
                <w:szCs w:val="19"/>
              </w:rPr>
              <w:t xml:space="preserve">KOMINFO / BSSN</w:t>
            </w:r>
          </w:p>
        </w:tc>
        <w:tc>
          <w:tcPr>
            <w:tcW w:type="dxa" w:w="12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Regulator</w:t>
            </w:r>
          </w:p>
        </w:tc>
        <w:tc>
          <w:tcPr>
            <w:tcW w:type="dxa" w:w="456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UU PDP compliance, data breach notification obligations, critical infrastructure security standards</w:t>
            </w:r>
          </w:p>
        </w:tc>
        <w:tc>
          <w:tcPr>
            <w:tcW w:type="dxa" w:w="120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High</w:t>
            </w:r>
          </w:p>
        </w:tc>
      </w:tr>
      <w:tr>
        <w:tc>
          <w:tcPr>
            <w:tcW w:type="dxa" w:w="2400"/>
            <w:tcBorders>
              <w:top w:val="single" w:color="DBEAFE" w:sz="1"/>
              <w:left w:val="single" w:color="DBEAFE" w:sz="1"/>
              <w:bottom w:val="single" w:color="DBEAFE" w:sz="1"/>
              <w:right w:val="single" w:color="DBEAFE" w:sz="1"/>
            </w:tcBorders>
            <w:shd w:fill="EBF2FB" w:val="clear"/>
            <w:tcMar>
              <w:top w:type="dxa" w:w="90"/>
              <w:left w:type="dxa" w:w="120"/>
              <w:bottom w:type="dxa" w:w="90"/>
              <w:right w:type="dxa" w:w="120"/>
            </w:tcMar>
          </w:tcPr>
          <w:p>
            <w:r>
              <w:rPr>
                <w:rFonts w:ascii="Arial" w:cs="Arial" w:eastAsia="Arial" w:hAnsi="Arial"/>
                <w:b/>
                <w:bCs/>
                <w:color w:val="2563A8"/>
                <w:sz w:val="19"/>
                <w:szCs w:val="19"/>
              </w:rPr>
              <w:t xml:space="preserve">Enterprise Customers</w:t>
            </w:r>
          </w:p>
        </w:tc>
        <w:tc>
          <w:tcPr>
            <w:tcW w:type="dxa" w:w="12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Client</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Proof of information security management — ISO 27001 certificate, security questionnaire responses, incident notification</w:t>
            </w:r>
          </w:p>
        </w:tc>
        <w:tc>
          <w:tcPr>
            <w:tcW w:type="dxa" w:w="120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High</w:t>
            </w:r>
          </w:p>
        </w:tc>
      </w:tr>
      <w:tr>
        <w:tc>
          <w:tcPr>
            <w:tcW w:type="dxa" w:w="2400"/>
            <w:tcBorders>
              <w:top w:val="single" w:color="DBEAFE" w:sz="1"/>
              <w:left w:val="single" w:color="DBEAFE" w:sz="1"/>
              <w:bottom w:val="single" w:color="DBEAFE" w:sz="1"/>
              <w:right w:val="single" w:color="DBEAFE" w:sz="1"/>
            </w:tcBorders>
            <w:shd w:fill="EBF2FB" w:val="clear"/>
            <w:tcMar>
              <w:top w:type="dxa" w:w="90"/>
              <w:left w:type="dxa" w:w="120"/>
              <w:bottom w:type="dxa" w:w="90"/>
              <w:right w:type="dxa" w:w="120"/>
            </w:tcMar>
          </w:tcPr>
          <w:p>
            <w:r>
              <w:rPr>
                <w:rFonts w:ascii="Arial" w:cs="Arial" w:eastAsia="Arial" w:hAnsi="Arial"/>
                <w:b/>
                <w:bCs/>
                <w:color w:val="2563A8"/>
                <w:sz w:val="19"/>
                <w:szCs w:val="19"/>
              </w:rPr>
              <w:t xml:space="preserve">Government Procurement Bodies (LKPP)</w:t>
            </w:r>
          </w:p>
        </w:tc>
        <w:tc>
          <w:tcPr>
            <w:tcW w:type="dxa" w:w="12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Client</w:t>
            </w:r>
          </w:p>
        </w:tc>
        <w:tc>
          <w:tcPr>
            <w:tcW w:type="dxa" w:w="456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Vendor security qualification — ISO 27001 increasingly listed in RFP criteria for IT service providers</w:t>
            </w:r>
          </w:p>
        </w:tc>
        <w:tc>
          <w:tcPr>
            <w:tcW w:type="dxa" w:w="120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pPr>
              <w:jc w:val="center"/>
            </w:pPr>
            <w:r>
              <w:rPr>
                <w:rFonts w:ascii="Arial" w:cs="Arial" w:eastAsia="Arial" w:hAnsi="Arial"/>
                <w:b/>
                <w:bCs/>
                <w:color w:val="B45309"/>
                <w:sz w:val="18"/>
                <w:szCs w:val="18"/>
              </w:rPr>
              <w:t xml:space="preserve">Medium-High</w:t>
            </w:r>
          </w:p>
        </w:tc>
      </w:tr>
      <w:tr>
        <w:tc>
          <w:tcPr>
            <w:tcW w:type="dxa" w:w="2400"/>
            <w:tcBorders>
              <w:top w:val="single" w:color="DBEAFE" w:sz="1"/>
              <w:left w:val="single" w:color="DBEAFE" w:sz="1"/>
              <w:bottom w:val="single" w:color="DBEAFE" w:sz="1"/>
              <w:right w:val="single" w:color="DBEAFE" w:sz="1"/>
            </w:tcBorders>
            <w:shd w:fill="F0FDFA" w:val="clear"/>
            <w:tcMar>
              <w:top w:type="dxa" w:w="90"/>
              <w:left w:type="dxa" w:w="120"/>
              <w:bottom w:type="dxa" w:w="90"/>
              <w:right w:type="dxa" w:w="120"/>
            </w:tcMar>
          </w:tcPr>
          <w:p>
            <w:r>
              <w:rPr>
                <w:rFonts w:ascii="Arial" w:cs="Arial" w:eastAsia="Arial" w:hAnsi="Arial"/>
                <w:b/>
                <w:bCs/>
                <w:color w:val="0F766E"/>
                <w:sz w:val="19"/>
                <w:szCs w:val="19"/>
              </w:rPr>
              <w:t xml:space="preserve">Cloud &amp; Infrastructure Providers</w:t>
            </w:r>
          </w:p>
        </w:tc>
        <w:tc>
          <w:tcPr>
            <w:tcW w:type="dxa" w:w="12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Supplier</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Data processing agreements, security SLAs, right-to-audit provisions, subprocessor notification obligations</w:t>
            </w:r>
          </w:p>
        </w:tc>
        <w:tc>
          <w:tcPr>
            <w:tcW w:type="dxa" w:w="120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High</w:t>
            </w:r>
          </w:p>
        </w:tc>
      </w:tr>
      <w:tr>
        <w:tc>
          <w:tcPr>
            <w:tcW w:type="dxa" w:w="2400"/>
            <w:tcBorders>
              <w:top w:val="single" w:color="DBEAFE" w:sz="1"/>
              <w:left w:val="single" w:color="DBEAFE" w:sz="1"/>
              <w:bottom w:val="single" w:color="DBEAFE" w:sz="1"/>
              <w:right w:val="single" w:color="DBEAFE" w:sz="1"/>
            </w:tcBorders>
            <w:shd w:fill="F0FDFA" w:val="clear"/>
            <w:tcMar>
              <w:top w:type="dxa" w:w="90"/>
              <w:left w:type="dxa" w:w="120"/>
              <w:bottom w:type="dxa" w:w="90"/>
              <w:right w:type="dxa" w:w="120"/>
            </w:tcMar>
          </w:tcPr>
          <w:p>
            <w:r>
              <w:rPr>
                <w:rFonts w:ascii="Arial" w:cs="Arial" w:eastAsia="Arial" w:hAnsi="Arial"/>
                <w:b/>
                <w:bCs/>
                <w:color w:val="0F766E"/>
                <w:sz w:val="19"/>
                <w:szCs w:val="19"/>
              </w:rPr>
              <w:t xml:space="preserve">Third-Party Software Vendors</w:t>
            </w:r>
          </w:p>
        </w:tc>
        <w:tc>
          <w:tcPr>
            <w:tcW w:type="dxa" w:w="12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Supplier</w:t>
            </w:r>
          </w:p>
        </w:tc>
        <w:tc>
          <w:tcPr>
            <w:tcW w:type="dxa" w:w="456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Vulnerability disclosure, patch management timelines, security testing evidence, data handling practices</w:t>
            </w:r>
          </w:p>
        </w:tc>
        <w:tc>
          <w:tcPr>
            <w:tcW w:type="dxa" w:w="120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pPr>
              <w:jc w:val="center"/>
            </w:pPr>
            <w:r>
              <w:rPr>
                <w:rFonts w:ascii="Arial" w:cs="Arial" w:eastAsia="Arial" w:hAnsi="Arial"/>
                <w:b/>
                <w:bCs/>
                <w:color w:val="B45309"/>
                <w:sz w:val="18"/>
                <w:szCs w:val="18"/>
              </w:rPr>
              <w:t xml:space="preserve">Medium-High</w:t>
            </w:r>
          </w:p>
        </w:tc>
      </w:tr>
      <w:tr>
        <w:tc>
          <w:tcPr>
            <w:tcW w:type="dxa" w:w="240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r>
              <w:rPr>
                <w:rFonts w:ascii="Arial" w:cs="Arial" w:eastAsia="Arial" w:hAnsi="Arial"/>
                <w:b/>
                <w:bCs/>
                <w:color w:val="B45309"/>
                <w:sz w:val="19"/>
                <w:szCs w:val="19"/>
              </w:rPr>
              <w:t xml:space="preserve">Employees &amp; Contractors</w:t>
            </w:r>
          </w:p>
        </w:tc>
        <w:tc>
          <w:tcPr>
            <w:tcW w:type="dxa" w:w="12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Internal</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Clear security policies, awareness training, acceptable use guidelines, security roles and responsibilities</w:t>
            </w:r>
          </w:p>
        </w:tc>
        <w:tc>
          <w:tcPr>
            <w:tcW w:type="dxa" w:w="120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High</w:t>
            </w:r>
          </w:p>
        </w:tc>
      </w:tr>
      <w:tr>
        <w:tc>
          <w:tcPr>
            <w:tcW w:type="dxa" w:w="2400"/>
            <w:tcBorders>
              <w:top w:val="single" w:color="DBEAFE" w:sz="1"/>
              <w:left w:val="single" w:color="DBEAFE" w:sz="1"/>
              <w:bottom w:val="single" w:color="DBEAFE" w:sz="1"/>
              <w:right w:val="single" w:color="DBEAFE" w:sz="1"/>
            </w:tcBorders>
            <w:shd w:fill="F5F3FF" w:val="clear"/>
            <w:tcMar>
              <w:top w:type="dxa" w:w="90"/>
              <w:left w:type="dxa" w:w="120"/>
              <w:bottom w:type="dxa" w:w="90"/>
              <w:right w:type="dxa" w:w="120"/>
            </w:tcMar>
          </w:tcPr>
          <w:p>
            <w:r>
              <w:rPr>
                <w:rFonts w:ascii="Arial" w:cs="Arial" w:eastAsia="Arial" w:hAnsi="Arial"/>
                <w:b/>
                <w:bCs/>
                <w:color w:val="6D28D9"/>
                <w:sz w:val="19"/>
                <w:szCs w:val="19"/>
              </w:rPr>
              <w:t xml:space="preserve">Board of Directors / Shareholders</w:t>
            </w:r>
          </w:p>
        </w:tc>
        <w:tc>
          <w:tcPr>
            <w:tcW w:type="dxa" w:w="12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Governance</w:t>
            </w:r>
          </w:p>
        </w:tc>
        <w:tc>
          <w:tcPr>
            <w:tcW w:type="dxa" w:w="456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Risk reporting, ISMS performance metrics, material incident disclosure, regulatory standing assurance</w:t>
            </w:r>
          </w:p>
        </w:tc>
        <w:tc>
          <w:tcPr>
            <w:tcW w:type="dxa" w:w="120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pPr>
              <w:jc w:val="center"/>
            </w:pPr>
            <w:r>
              <w:rPr>
                <w:rFonts w:ascii="Arial" w:cs="Arial" w:eastAsia="Arial" w:hAnsi="Arial"/>
                <w:b/>
                <w:bCs/>
                <w:color w:val="B45309"/>
                <w:sz w:val="18"/>
                <w:szCs w:val="18"/>
              </w:rPr>
              <w:t xml:space="preserve">Medium-High</w:t>
            </w:r>
          </w:p>
        </w:tc>
      </w:tr>
      <w:tr>
        <w:tc>
          <w:tcPr>
            <w:tcW w:type="dxa" w:w="2400"/>
            <w:tcBorders>
              <w:top w:val="single" w:color="DBEAFE" w:sz="1"/>
              <w:left w:val="single" w:color="DBEAFE" w:sz="1"/>
              <w:bottom w:val="single" w:color="DBEAFE" w:sz="1"/>
              <w:right w:val="single" w:color="DBEAFE" w:sz="1"/>
            </w:tcBorders>
            <w:shd w:fill="F1F5F9" w:val="clear"/>
            <w:tcMar>
              <w:top w:type="dxa" w:w="90"/>
              <w:left w:type="dxa" w:w="120"/>
              <w:bottom w:type="dxa" w:w="90"/>
              <w:right w:type="dxa" w:w="120"/>
            </w:tcMar>
          </w:tcPr>
          <w:p>
            <w:r>
              <w:rPr>
                <w:rFonts w:ascii="Arial" w:cs="Arial" w:eastAsia="Arial" w:hAnsi="Arial"/>
                <w:b/>
                <w:bCs/>
                <w:color w:val="334155"/>
                <w:sz w:val="19"/>
                <w:szCs w:val="19"/>
              </w:rPr>
              <w:t xml:space="preserve">Cyber Insurers</w:t>
            </w:r>
          </w:p>
        </w:tc>
        <w:tc>
          <w:tcPr>
            <w:tcW w:type="dxa" w:w="12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Financial</w:t>
            </w:r>
          </w:p>
        </w:tc>
        <w:tc>
          <w:tcPr>
            <w:tcW w:type="dxa" w:w="456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val="false"/>
                <w:iCs w:val="false"/>
                <w:color w:val="111827"/>
                <w:sz w:val="19"/>
                <w:szCs w:val="19"/>
              </w:rPr>
              <w:t xml:space="preserve">Evidence of security controls, risk assessment documentation, incident history, ISMS certification status</w:t>
            </w:r>
          </w:p>
        </w:tc>
        <w:tc>
          <w:tcPr>
            <w:tcW w:type="dxa" w:w="120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pPr>
              <w:jc w:val="center"/>
            </w:pPr>
            <w:r>
              <w:rPr>
                <w:rFonts w:ascii="Arial" w:cs="Arial" w:eastAsia="Arial" w:hAnsi="Arial"/>
                <w:b/>
                <w:bCs/>
                <w:color w:val="B45309"/>
                <w:sz w:val="18"/>
                <w:szCs w:val="18"/>
              </w:rPr>
              <w:t xml:space="preserve">Medium</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interested parties register is a living document. As the regulatory environment evolves, as new client relationships are established, as supplier arrangements change, the register must be updated. A common implementation failure is treating the interested parties analysis as a one-time exercise completed during initial implementation and never revisited. OJK circulars issued after your ISMS was implemented are still requirements — your interested parties register needs to capture them.</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2026 context: In Indonesia's current regulatory environment, the interested parties register is particularly dynamic. Bank Indonesia's digital payment regulations are actively evolving. OJK's AI governance guidance for financial institutions is in development. KOMINFO's UU PDP implementing regulations are being progressively issued. Organizations that review their interested parties register quarterly — not annually — are better positioned to catch new requirements before they become audit findings.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4.3 — Determining the Scope of the ISMS</w:t>
      </w:r>
    </w:p>
    <w:p>
      <w:pPr>
        <w:spacing w:after="80"/>
      </w:pPr>
      <w:r>
        <w:t xml:space="preserve"/>
      </w:r>
    </w:p>
    <w:p>
      <w:pPr>
        <w:spacing w:after="160" w:line="320"/>
        <w:jc w:val="both"/>
      </w:pPr>
      <w:r>
        <w:rPr>
          <w:rFonts w:ascii="Georgia" w:cs="Georgia" w:eastAsia="Georgia" w:hAnsi="Georgia"/>
          <w:color w:val="111827"/>
          <w:sz w:val="22"/>
          <w:szCs w:val="22"/>
        </w:rPr>
        <w:t xml:space="preserve">Of all the Clause 4 requirements, scope definition is the most consequential and the most frequently mishandled. The scope of the ISMS defines what is protected, what is audited, and what the ISO 27001 certificate covers. Get it wrong — either too broad or too narrow in the wrong ways — and the entire implementation suffers.</w:t>
      </w:r>
    </w:p>
    <w:p>
      <w:pPr>
        <w:spacing w:after="80"/>
      </w:pPr>
      <w:r>
        <w:t xml:space="preserve"/>
      </w:r>
    </w:p>
    <w:p>
      <w:pPr>
        <w:spacing w:after="160" w:line="320"/>
        <w:jc w:val="both"/>
      </w:pPr>
      <w:r>
        <w:rPr>
          <w:rFonts w:ascii="Georgia" w:cs="Georgia" w:eastAsia="Georgia" w:hAnsi="Georgia"/>
          <w:color w:val="111827"/>
          <w:sz w:val="22"/>
          <w:szCs w:val="22"/>
        </w:rPr>
        <w:t xml:space="preserve">ISO 27001:2022 is explicit: the scope must be available as documented information. This is one of the few places in Clause 4 where a specific document is explicitly required. The scope statement must define the boundaries and applicability of the ISMS — what is included, what is excluded, and why exclusions are justified.</w:t>
      </w:r>
    </w:p>
    <w:p>
      <w:pPr>
        <w:spacing w:after="120"/>
      </w:pPr>
      <w:r>
        <w:t xml:space="preserve"/>
      </w:r>
    </w:p>
    <w:p>
      <w:pPr>
        <w:pStyle w:val="Heading3"/>
        <w:spacing w:after="120" w:before="280"/>
      </w:pPr>
      <w:r>
        <w:rPr>
          <w:rFonts w:ascii="Arial" w:cs="Arial" w:eastAsia="Arial" w:hAnsi="Arial"/>
          <w:b/>
          <w:bCs/>
          <w:color w:val="2563A8"/>
          <w:sz w:val="24"/>
          <w:szCs w:val="24"/>
        </w:rPr>
        <w:t xml:space="preserve">Scope Boundaries: What the Standard Actually Requires</w:t>
      </w:r>
    </w:p>
    <w:p>
      <w:pPr>
        <w:spacing w:after="80"/>
      </w:pPr>
      <w:r>
        <w:t xml:space="preserve"/>
      </w:r>
    </w:p>
    <w:p>
      <w:pPr>
        <w:spacing w:after="160" w:line="320"/>
        <w:jc w:val="both"/>
      </w:pPr>
      <w:r>
        <w:rPr>
          <w:rFonts w:ascii="Georgia" w:cs="Georgia" w:eastAsia="Georgia" w:hAnsi="Georgia"/>
          <w:color w:val="111827"/>
          <w:sz w:val="22"/>
          <w:szCs w:val="22"/>
        </w:rPr>
        <w:t xml:space="preserve">The standard requires the scope to consider external and internal issues (from 4.1), interested party requirements (from 4.2), and the interfaces and dependencies between the organization's activities and those of other organizations. This last requirement — interfaces and dependencies — is important and often overlooked.</w:t>
      </w:r>
    </w:p>
    <w:p>
      <w:pPr>
        <w:spacing w:after="80"/>
      </w:pPr>
      <w:r>
        <w:t xml:space="preserve"/>
      </w:r>
    </w:p>
    <w:p>
      <w:pPr>
        <w:spacing w:after="160" w:line="320"/>
        <w:jc w:val="both"/>
      </w:pPr>
      <w:r>
        <w:rPr>
          <w:rFonts w:ascii="Georgia" w:cs="Georgia" w:eastAsia="Georgia" w:hAnsi="Georgia"/>
          <w:color w:val="111827"/>
          <w:sz w:val="22"/>
          <w:szCs w:val="22"/>
        </w:rPr>
        <w:t xml:space="preserve">You cannot simply exclude everything that is handled by a third party. If your cloud hosting provider processes your customer data, that relationship must be addressed in the ISMS even if the provider is not 'in scope' in the traditional sense. The scope boundary must be drawn at a level where the ISMS can credibly account for how information is protected across all interfaces — including supplier and vendor relationships.</w:t>
      </w:r>
    </w:p>
    <w:p>
      <w:pPr>
        <w:spacing w:after="120"/>
      </w:pPr>
      <w:r>
        <w:t xml:space="preserve"/>
      </w:r>
    </w:p>
    <w:p>
      <w:pPr>
        <w:pStyle w:val="Heading3"/>
        <w:spacing w:after="120" w:before="280"/>
      </w:pPr>
      <w:r>
        <w:rPr>
          <w:rFonts w:ascii="Arial" w:cs="Arial" w:eastAsia="Arial" w:hAnsi="Arial"/>
          <w:b/>
          <w:bCs/>
          <w:color w:val="2563A8"/>
          <w:sz w:val="24"/>
          <w:szCs w:val="24"/>
        </w:rPr>
        <w:t xml:space="preserve">Practical Scope Decisions: A Decision Framework</w:t>
      </w:r>
    </w:p>
    <w:p>
      <w:pPr>
        <w:spacing w:after="80"/>
      </w:pPr>
      <w:r>
        <w:t xml:space="preserve"/>
      </w:r>
    </w:p>
    <w:p>
      <w:pPr>
        <w:spacing w:after="160" w:line="320"/>
        <w:jc w:val="both"/>
      </w:pPr>
      <w:r>
        <w:rPr>
          <w:rFonts w:ascii="Georgia" w:cs="Georgia" w:eastAsia="Georgia" w:hAnsi="Georgia"/>
          <w:color w:val="111827"/>
          <w:sz w:val="22"/>
          <w:szCs w:val="22"/>
        </w:rPr>
        <w:t xml:space="preserve">The following questions help frame scope boundary decisions for common scenarios: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80"/>
        <w:gridCol w:w="5280"/>
      </w:tblGrid>
      <w:tr>
        <w:tc>
          <w:tcPr>
            <w:tcW w:type="dxa" w:w="408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Scoping question</w:t>
            </w:r>
          </w:p>
        </w:tc>
        <w:tc>
          <w:tcPr>
            <w:tcW w:type="dxa" w:w="5280"/>
            <w:tcBorders>
              <w:top w:val="single" w:color="DBEAFE" w:sz="1"/>
              <w:left w:val="single" w:color="DBEAFE" w:sz="1"/>
              <w:bottom w:val="single" w:color="DBEAFE" w:sz="1"/>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What it means for your scope boundary</w:t>
            </w:r>
          </w:p>
        </w:tc>
      </w:tr>
      <w:tr>
        <w:tc>
          <w:tcPr>
            <w:tcW w:type="dxa" w:w="408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iCs/>
                <w:color w:val="111827"/>
                <w:sz w:val="20"/>
                <w:szCs w:val="20"/>
              </w:rPr>
              <w:t xml:space="preserve">Which services or products generate information security risk?</w:t>
            </w:r>
          </w:p>
        </w:tc>
        <w:tc>
          <w:tcPr>
            <w:tcW w:type="dxa" w:w="528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These services form the natural core of your ISMS scope — start here.</w:t>
            </w:r>
          </w:p>
        </w:tc>
      </w:tr>
      <w:tr>
        <w:tc>
          <w:tcPr>
            <w:tcW w:type="dxa" w:w="408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iCs/>
                <w:color w:val="111827"/>
                <w:sz w:val="20"/>
                <w:szCs w:val="20"/>
              </w:rPr>
              <w:t xml:space="preserve">Which systems process personal data subject to UU PDP?</w:t>
            </w:r>
          </w:p>
        </w:tc>
        <w:tc>
          <w:tcPr>
            <w:tcW w:type="dxa" w:w="5280"/>
            <w:tcBorders>
              <w:top w:val="single" w:color="DBEAFE" w:sz="1"/>
              <w:left w:val="single" w:color="DBEAFE" w:sz="1"/>
              <w:bottom w:val="single" w:color="DBEAFE" w:sz="1"/>
              <w:right w:val="single" w:color="DBEAFE" w:sz="1"/>
            </w:tcBorders>
            <w:shd w:fill="ECFDF5" w:val="clear"/>
            <w:tcMar>
              <w:top w:type="dxa" w:w="90"/>
              <w:left w:type="dxa" w:w="130"/>
              <w:bottom w:type="dxa" w:w="90"/>
              <w:right w:type="dxa" w:w="130"/>
            </w:tcMar>
          </w:tcPr>
          <w:p>
            <w:r>
              <w:rPr>
                <w:rFonts w:ascii="Georgia" w:cs="Georgia" w:eastAsia="Georgia" w:hAnsi="Georgia"/>
                <w:color w:val="065F46"/>
                <w:sz w:val="20"/>
                <w:szCs w:val="20"/>
              </w:rPr>
              <w:t xml:space="preserve">UU PDP obligations require you to protect this data — include the systems and processes that handle it.</w:t>
            </w:r>
          </w:p>
        </w:tc>
      </w:tr>
      <w:tr>
        <w:tc>
          <w:tcPr>
            <w:tcW w:type="dxa" w:w="408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iCs/>
                <w:color w:val="111827"/>
                <w:sz w:val="20"/>
                <w:szCs w:val="20"/>
              </w:rPr>
              <w:t xml:space="preserve">Which locations, facilities, or cloud environments are involved?</w:t>
            </w:r>
          </w:p>
        </w:tc>
        <w:tc>
          <w:tcPr>
            <w:tcW w:type="dxa" w:w="5280"/>
            <w:tcBorders>
              <w:top w:val="single" w:color="DBEAFE" w:sz="1"/>
              <w:left w:val="single" w:color="DBEAFE" w:sz="1"/>
              <w:bottom w:val="single" w:color="DBEAFE" w:sz="1"/>
              <w:right w:val="single" w:color="DBEAFE" w:sz="1"/>
            </w:tcBorders>
            <w:shd w:fill="EBF2FB" w:val="clear"/>
            <w:tcMar>
              <w:top w:type="dxa" w:w="90"/>
              <w:left w:type="dxa" w:w="130"/>
              <w:bottom w:type="dxa" w:w="90"/>
              <w:right w:type="dxa" w:w="130"/>
            </w:tcMar>
          </w:tcPr>
          <w:p>
            <w:r>
              <w:rPr>
                <w:rFonts w:ascii="Georgia" w:cs="Georgia" w:eastAsia="Georgia" w:hAnsi="Georgia"/>
                <w:color w:val="2563A8"/>
                <w:sz w:val="20"/>
                <w:szCs w:val="20"/>
              </w:rPr>
              <w:t xml:space="preserve">Scope must address where information is processed and stored — remote work, cloud providers, and colocation all count.</w:t>
            </w:r>
          </w:p>
        </w:tc>
      </w:tr>
      <w:tr>
        <w:tc>
          <w:tcPr>
            <w:tcW w:type="dxa" w:w="408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iCs/>
                <w:color w:val="111827"/>
                <w:sz w:val="20"/>
                <w:szCs w:val="20"/>
              </w:rPr>
              <w:t xml:space="preserve">Which third parties process your data or access your systems?</w:t>
            </w:r>
          </w:p>
        </w:tc>
        <w:tc>
          <w:tcPr>
            <w:tcW w:type="dxa" w:w="5280"/>
            <w:tcBorders>
              <w:top w:val="single" w:color="DBEAFE" w:sz="1"/>
              <w:left w:val="single" w:color="DBEAFE" w:sz="1"/>
              <w:bottom w:val="single" w:color="DBEAFE" w:sz="1"/>
              <w:right w:val="single" w:color="DBEAFE" w:sz="1"/>
            </w:tcBorders>
            <w:shd w:fill="EBF2FB" w:val="clear"/>
            <w:tcMar>
              <w:top w:type="dxa" w:w="90"/>
              <w:left w:type="dxa" w:w="130"/>
              <w:bottom w:type="dxa" w:w="90"/>
              <w:right w:type="dxa" w:w="130"/>
            </w:tcMar>
          </w:tcPr>
          <w:p>
            <w:r>
              <w:rPr>
                <w:rFonts w:ascii="Georgia" w:cs="Georgia" w:eastAsia="Georgia" w:hAnsi="Georgia"/>
                <w:color w:val="2563A8"/>
                <w:sz w:val="20"/>
                <w:szCs w:val="20"/>
              </w:rPr>
              <w:t xml:space="preserve">Supplier and vendor interfaces are in scope — you cannot exclude them just because they are external.</w:t>
            </w:r>
          </w:p>
        </w:tc>
      </w:tr>
      <w:tr>
        <w:tc>
          <w:tcPr>
            <w:tcW w:type="dxa" w:w="408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iCs/>
                <w:color w:val="111827"/>
                <w:sz w:val="20"/>
                <w:szCs w:val="20"/>
              </w:rPr>
              <w:t xml:space="preserve">Which departments or business units are involved in delivering in-scope services?</w:t>
            </w:r>
          </w:p>
        </w:tc>
        <w:tc>
          <w:tcPr>
            <w:tcW w:type="dxa" w:w="5280"/>
            <w:tcBorders>
              <w:top w:val="single" w:color="DBEAFE" w:sz="1"/>
              <w:left w:val="single" w:color="DBEAFE" w:sz="1"/>
              <w:bottom w:val="single" w:color="DBEAFE" w:sz="1"/>
              <w:right w:val="single" w:color="DBEAFE" w:sz="1"/>
            </w:tcBorders>
            <w:shd w:fill="FFFBEB" w:val="clear"/>
            <w:tcMar>
              <w:top w:type="dxa" w:w="90"/>
              <w:left w:type="dxa" w:w="130"/>
              <w:bottom w:type="dxa" w:w="90"/>
              <w:right w:type="dxa" w:w="130"/>
            </w:tcMar>
          </w:tcPr>
          <w:p>
            <w:r>
              <w:rPr>
                <w:rFonts w:ascii="Georgia" w:cs="Georgia" w:eastAsia="Georgia" w:hAnsi="Georgia"/>
                <w:color w:val="B45309"/>
                <w:sz w:val="20"/>
                <w:szCs w:val="20"/>
              </w:rPr>
              <w:t xml:space="preserve">All people, processes, and technology involved in delivering the scoped service are in scope — not just IT.</w:t>
            </w:r>
          </w:p>
        </w:tc>
      </w:tr>
      <w:tr>
        <w:tc>
          <w:tcPr>
            <w:tcW w:type="dxa" w:w="408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iCs/>
                <w:color w:val="111827"/>
                <w:sz w:val="20"/>
                <w:szCs w:val="20"/>
              </w:rPr>
              <w:t xml:space="preserve">Are there dependencies on out-of-scope systems or locations?</w:t>
            </w:r>
          </w:p>
        </w:tc>
        <w:tc>
          <w:tcPr>
            <w:tcW w:type="dxa" w:w="5280"/>
            <w:tcBorders>
              <w:top w:val="single" w:color="DBEAFE" w:sz="1"/>
              <w:left w:val="single" w:color="DBEAFE" w:sz="1"/>
              <w:bottom w:val="single" w:color="DBEAFE" w:sz="1"/>
              <w:right w:val="single" w:color="DBEAFE" w:sz="1"/>
            </w:tcBorders>
            <w:shd w:fill="FFFBEB" w:val="clear"/>
            <w:tcMar>
              <w:top w:type="dxa" w:w="90"/>
              <w:left w:type="dxa" w:w="130"/>
              <w:bottom w:type="dxa" w:w="90"/>
              <w:right w:type="dxa" w:w="130"/>
            </w:tcMar>
          </w:tcPr>
          <w:p>
            <w:r>
              <w:rPr>
                <w:rFonts w:ascii="Georgia" w:cs="Georgia" w:eastAsia="Georgia" w:hAnsi="Georgia"/>
                <w:color w:val="B45309"/>
                <w:sz w:val="20"/>
                <w:szCs w:val="20"/>
              </w:rPr>
              <w:t xml:space="preserve">Dependencies must be documented. You cannot claim the risk is excluded if the dependency affects in-scope assets.</w:t>
            </w:r>
          </w:p>
        </w:tc>
      </w:tr>
      <w:tr>
        <w:tc>
          <w:tcPr>
            <w:tcW w:type="dxa" w:w="4080"/>
            <w:tcBorders>
              <w:top w:val="single" w:color="DBEAFE" w:sz="1"/>
              <w:left w:val="single" w:color="DBEAFE" w:sz="1"/>
              <w:bottom w:val="single" w:color="DBEAFE" w:sz="1"/>
              <w:right w:val="single" w:color="DBEAFE" w:sz="1"/>
            </w:tcBorders>
            <w:shd w:fill="F3F4F6" w:val="clear"/>
            <w:tcMar>
              <w:top w:type="dxa" w:w="90"/>
              <w:left w:type="dxa" w:w="130"/>
              <w:bottom w:type="dxa" w:w="90"/>
              <w:right w:type="dxa" w:w="130"/>
            </w:tcMar>
          </w:tcPr>
          <w:p>
            <w:r>
              <w:rPr>
                <w:rFonts w:ascii="Georgia" w:cs="Georgia" w:eastAsia="Georgia" w:hAnsi="Georgia"/>
                <w:i/>
                <w:iCs/>
                <w:color w:val="111827"/>
                <w:sz w:val="20"/>
                <w:szCs w:val="20"/>
              </w:rPr>
              <w:t xml:space="preserve">Would a narrower scope still satisfy your regulatory and client requirements?</w:t>
            </w:r>
          </w:p>
        </w:tc>
        <w:tc>
          <w:tcPr>
            <w:tcW w:type="dxa" w:w="5280"/>
            <w:tcBorders>
              <w:top w:val="single" w:color="DBEAFE" w:sz="1"/>
              <w:left w:val="single" w:color="DBEAFE" w:sz="1"/>
              <w:bottom w:val="single" w:color="DBEAFE" w:sz="1"/>
              <w:right w:val="single" w:color="DBEAFE" w:sz="1"/>
            </w:tcBorders>
            <w:shd w:fill="F5F3FF" w:val="clear"/>
            <w:tcMar>
              <w:top w:type="dxa" w:w="90"/>
              <w:left w:type="dxa" w:w="130"/>
              <w:bottom w:type="dxa" w:w="90"/>
              <w:right w:type="dxa" w:w="130"/>
            </w:tcMar>
          </w:tcPr>
          <w:p>
            <w:r>
              <w:rPr>
                <w:rFonts w:ascii="Georgia" w:cs="Georgia" w:eastAsia="Georgia" w:hAnsi="Georgia"/>
                <w:color w:val="6D28D9"/>
                <w:sz w:val="20"/>
                <w:szCs w:val="20"/>
              </w:rPr>
              <w:t xml:space="preserve">If yes, start narrow. Expanding scope in a subsequent cycle is far less painful than trying to certify too broadly on the first attempt.</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Scope Inclusion and Exclusion Examples</w:t>
      </w:r>
    </w:p>
    <w:p>
      <w:pPr>
        <w:spacing w:after="80"/>
      </w:pPr>
      <w:r>
        <w:t xml:space="preserve"/>
      </w:r>
    </w:p>
    <w:p>
      <w:pPr>
        <w:spacing w:after="160" w:line="320"/>
        <w:jc w:val="both"/>
      </w:pPr>
      <w:r>
        <w:rPr>
          <w:rFonts w:ascii="Georgia" w:cs="Georgia" w:eastAsia="Georgia" w:hAnsi="Georgia"/>
          <w:color w:val="111827"/>
          <w:sz w:val="22"/>
          <w:szCs w:val="22"/>
        </w:rPr>
        <w:t xml:space="preserve">The table below illustrates how scope boundary decisions apply to typical items an Indonesian fintech or financial services organization would consider:</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360"/>
        <w:gridCol w:w="4840"/>
      </w:tblGrid>
      <w:tr>
        <w:tc>
          <w:tcPr>
            <w:tcW w:type="dxa" w:w="3000"/>
            <w:tcBorders>
              <w:top w:val="single" w:color="DBEAFE" w:sz="1"/>
              <w:left w:val="single" w:color="DBEAFE" w:sz="1"/>
              <w:bottom w:val="single" w:color="DBEAFE" w:sz="1"/>
              <w:right w:val="single" w:color="DBEAFE" w:sz="1"/>
            </w:tcBorders>
            <w:shd w:fill="1B3A5C" w:val="clear"/>
            <w:tcMar>
              <w:top w:type="dxa" w:w="80"/>
              <w:left w:type="dxa" w:w="120"/>
              <w:bottom w:type="dxa" w:w="80"/>
              <w:right w:type="dxa" w:w="120"/>
            </w:tcMar>
          </w:tcPr>
          <w:p>
            <w:r>
              <w:rPr>
                <w:rFonts w:ascii="Arial" w:cs="Arial" w:eastAsia="Arial" w:hAnsi="Arial"/>
                <w:b/>
                <w:bCs/>
                <w:color w:val="FFFFFF"/>
                <w:sz w:val="19"/>
                <w:szCs w:val="19"/>
              </w:rPr>
              <w:t xml:space="preserve">Item</w:t>
            </w:r>
          </w:p>
        </w:tc>
        <w:tc>
          <w:tcPr>
            <w:tcW w:type="dxa" w:w="1360"/>
            <w:tcBorders>
              <w:top w:val="single" w:color="DBEAFE" w:sz="1"/>
              <w:left w:val="single" w:color="DBEAFE" w:sz="1"/>
              <w:bottom w:val="single" w:color="DBEAFE" w:sz="1"/>
              <w:right w:val="single" w:color="DBEAFE" w:sz="1"/>
            </w:tcBorders>
            <w:shd w:fill="1B3A5C" w:val="clear"/>
            <w:tcMar>
              <w:top w:type="dxa" w:w="80"/>
              <w:left w:type="dxa" w:w="120"/>
              <w:bottom w:type="dxa" w:w="80"/>
              <w:right w:type="dxa" w:w="120"/>
            </w:tcMar>
          </w:tcPr>
          <w:p>
            <w:r>
              <w:rPr>
                <w:rFonts w:ascii="Arial" w:cs="Arial" w:eastAsia="Arial" w:hAnsi="Arial"/>
                <w:b/>
                <w:bCs/>
                <w:color w:val="FFFFFF"/>
                <w:sz w:val="19"/>
                <w:szCs w:val="19"/>
              </w:rPr>
              <w:t xml:space="preserve">Verdict</w:t>
            </w:r>
          </w:p>
        </w:tc>
        <w:tc>
          <w:tcPr>
            <w:tcW w:type="dxa" w:w="4840"/>
            <w:tcBorders>
              <w:top w:val="single" w:color="DBEAFE" w:sz="1"/>
              <w:left w:val="single" w:color="DBEAFE" w:sz="1"/>
              <w:bottom w:val="single" w:color="DBEAFE" w:sz="1"/>
              <w:right w:val="single" w:color="DBEAFE" w:sz="1"/>
            </w:tcBorders>
            <w:shd w:fill="1B3A5C" w:val="clear"/>
            <w:tcMar>
              <w:top w:type="dxa" w:w="80"/>
              <w:left w:type="dxa" w:w="120"/>
              <w:bottom w:type="dxa" w:w="80"/>
              <w:right w:type="dxa" w:w="120"/>
            </w:tcMar>
          </w:tcPr>
          <w:p>
            <w:r>
              <w:rPr>
                <w:rFonts w:ascii="Arial" w:cs="Arial" w:eastAsia="Arial" w:hAnsi="Arial"/>
                <w:b/>
                <w:bCs/>
                <w:color w:val="FFFFFF"/>
                <w:sz w:val="19"/>
                <w:szCs w:val="19"/>
              </w:rPr>
              <w:t xml:space="preserve">Rationale</w:t>
            </w:r>
          </w:p>
        </w:tc>
      </w:tr>
      <w:tr>
        <w:tc>
          <w:tcPr>
            <w:tcW w:type="dxa" w:w="30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Core payment processing platform</w:t>
            </w:r>
          </w:p>
        </w:tc>
        <w:tc>
          <w:tcPr>
            <w:tcW w:type="dxa" w:w="136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IN SCOPE</w:t>
            </w:r>
          </w:p>
        </w:tc>
        <w:tc>
          <w:tcPr>
            <w:tcW w:type="dxa" w:w="484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iCs/>
                <w:color w:val="4B5563"/>
                <w:sz w:val="19"/>
                <w:szCs w:val="19"/>
              </w:rPr>
              <w:t xml:space="preserve">Primary service — highest risk, highest regulatory scrutiny. Always in scope.</w:t>
            </w:r>
          </w:p>
        </w:tc>
      </w:tr>
      <w:tr>
        <w:tc>
          <w:tcPr>
            <w:tcW w:type="dxa" w:w="30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Customer personal data database</w:t>
            </w:r>
          </w:p>
        </w:tc>
        <w:tc>
          <w:tcPr>
            <w:tcW w:type="dxa" w:w="136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IN SCOPE</w:t>
            </w:r>
          </w:p>
        </w:tc>
        <w:tc>
          <w:tcPr>
            <w:tcW w:type="dxa" w:w="484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iCs/>
                <w:color w:val="4B5563"/>
                <w:sz w:val="19"/>
                <w:szCs w:val="19"/>
              </w:rPr>
              <w:t xml:space="preserve">UU PDP obligation makes this non-negotiable. Must be in scope.</w:t>
            </w:r>
          </w:p>
        </w:tc>
      </w:tr>
      <w:tr>
        <w:tc>
          <w:tcPr>
            <w:tcW w:type="dxa" w:w="30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Cloud infrastructure (AWS/GCP/Azure)</w:t>
            </w:r>
          </w:p>
        </w:tc>
        <w:tc>
          <w:tcPr>
            <w:tcW w:type="dxa" w:w="136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IN SCOPE</w:t>
            </w:r>
          </w:p>
        </w:tc>
        <w:tc>
          <w:tcPr>
            <w:tcW w:type="dxa" w:w="484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iCs/>
                <w:color w:val="4B5563"/>
                <w:sz w:val="19"/>
                <w:szCs w:val="19"/>
              </w:rPr>
              <w:t xml:space="preserve">Hosting in-scope systems — must be covered. Supplier agreements must address security responsibilities.</w:t>
            </w:r>
          </w:p>
        </w:tc>
      </w:tr>
      <w:tr>
        <w:tc>
          <w:tcPr>
            <w:tcW w:type="dxa" w:w="30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Corporate HR system (separate from product)</w:t>
            </w:r>
          </w:p>
        </w:tc>
        <w:tc>
          <w:tcPr>
            <w:tcW w:type="dxa" w:w="136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pPr>
              <w:jc w:val="center"/>
            </w:pPr>
            <w:r>
              <w:rPr>
                <w:rFonts w:ascii="Arial" w:cs="Arial" w:eastAsia="Arial" w:hAnsi="Arial"/>
                <w:b/>
                <w:bCs/>
                <w:color w:val="B45309"/>
                <w:sz w:val="18"/>
                <w:szCs w:val="18"/>
              </w:rPr>
              <w:t xml:space="preserve">CONSIDER</w:t>
            </w:r>
          </w:p>
        </w:tc>
        <w:tc>
          <w:tcPr>
            <w:tcW w:type="dxa" w:w="484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iCs/>
                <w:color w:val="4B5563"/>
                <w:sz w:val="19"/>
                <w:szCs w:val="19"/>
              </w:rPr>
              <w:t xml:space="preserve">Handles employee personal data — UU PDP applies. Include if practical; document exclusion rationale if excluded.</w:t>
            </w:r>
          </w:p>
        </w:tc>
      </w:tr>
      <w:tr>
        <w:tc>
          <w:tcPr>
            <w:tcW w:type="dxa" w:w="30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Internal wiki or intranet (no customer data)</w:t>
            </w:r>
          </w:p>
        </w:tc>
        <w:tc>
          <w:tcPr>
            <w:tcW w:type="dxa" w:w="136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pPr>
              <w:jc w:val="center"/>
            </w:pPr>
            <w:r>
              <w:rPr>
                <w:rFonts w:ascii="Arial" w:cs="Arial" w:eastAsia="Arial" w:hAnsi="Arial"/>
                <w:b/>
                <w:bCs/>
                <w:color w:val="B45309"/>
                <w:sz w:val="18"/>
                <w:szCs w:val="18"/>
              </w:rPr>
              <w:t xml:space="preserve">OPTIONAL</w:t>
            </w:r>
          </w:p>
        </w:tc>
        <w:tc>
          <w:tcPr>
            <w:tcW w:type="dxa" w:w="484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iCs/>
                <w:color w:val="4B5563"/>
                <w:sz w:val="19"/>
                <w:szCs w:val="19"/>
              </w:rPr>
              <w:t xml:space="preserve">Lower risk — may be excluded for a first certification. Document exclusion. Plan to include in later cycles.</w:t>
            </w:r>
          </w:p>
        </w:tc>
      </w:tr>
      <w:tr>
        <w:tc>
          <w:tcPr>
            <w:tcW w:type="dxa" w:w="30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Employees' personal devices (BYOD)</w:t>
            </w:r>
          </w:p>
        </w:tc>
        <w:tc>
          <w:tcPr>
            <w:tcW w:type="dxa" w:w="1360"/>
            <w:tcBorders>
              <w:top w:val="single" w:color="DBEAFE" w:sz="1"/>
              <w:left w:val="single" w:color="DBEAFE" w:sz="1"/>
              <w:bottom w:val="single" w:color="DBEAFE" w:sz="1"/>
              <w:right w:val="single" w:color="DBEAFE" w:sz="1"/>
            </w:tcBorders>
            <w:shd w:fill="FFFBEB" w:val="clear"/>
            <w:tcMar>
              <w:top w:type="dxa" w:w="90"/>
              <w:left w:type="dxa" w:w="120"/>
              <w:bottom w:type="dxa" w:w="90"/>
              <w:right w:type="dxa" w:w="120"/>
            </w:tcMar>
          </w:tcPr>
          <w:p>
            <w:pPr>
              <w:jc w:val="center"/>
            </w:pPr>
            <w:r>
              <w:rPr>
                <w:rFonts w:ascii="Arial" w:cs="Arial" w:eastAsia="Arial" w:hAnsi="Arial"/>
                <w:b/>
                <w:bCs/>
                <w:color w:val="B45309"/>
                <w:sz w:val="18"/>
                <w:szCs w:val="18"/>
              </w:rPr>
              <w:t xml:space="preserve">ADDRESS</w:t>
            </w:r>
          </w:p>
        </w:tc>
        <w:tc>
          <w:tcPr>
            <w:tcW w:type="dxa" w:w="484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iCs/>
                <w:color w:val="4B5563"/>
                <w:sz w:val="19"/>
                <w:szCs w:val="19"/>
              </w:rPr>
              <w:t xml:space="preserve">If used to access in-scope systems, must be addressed through policy and controls even if not fully in scope.</w:t>
            </w:r>
          </w:p>
        </w:tc>
      </w:tr>
      <w:tr>
        <w:tc>
          <w:tcPr>
            <w:tcW w:type="dxa" w:w="300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color w:val="111827"/>
                <w:sz w:val="20"/>
                <w:szCs w:val="20"/>
              </w:rPr>
              <w:t xml:space="preserve">Entirely separate subsidiary with no shared systems</w:t>
            </w:r>
          </w:p>
        </w:tc>
        <w:tc>
          <w:tcPr>
            <w:tcW w:type="dxa" w:w="1360"/>
            <w:tcBorders>
              <w:top w:val="single" w:color="DBEAFE" w:sz="1"/>
              <w:left w:val="single" w:color="DBEAFE" w:sz="1"/>
              <w:bottom w:val="single" w:color="DBEAFE" w:sz="1"/>
              <w:right w:val="single" w:color="DBEAFE" w:sz="1"/>
            </w:tcBorders>
            <w:shd w:fill="F5F3FF" w:val="clear"/>
            <w:tcMar>
              <w:top w:type="dxa" w:w="90"/>
              <w:left w:type="dxa" w:w="120"/>
              <w:bottom w:type="dxa" w:w="90"/>
              <w:right w:type="dxa" w:w="120"/>
            </w:tcMar>
          </w:tcPr>
          <w:p>
            <w:pPr>
              <w:jc w:val="center"/>
            </w:pPr>
            <w:r>
              <w:rPr>
                <w:rFonts w:ascii="Arial" w:cs="Arial" w:eastAsia="Arial" w:hAnsi="Arial"/>
                <w:b/>
                <w:bCs/>
                <w:color w:val="6D28D9"/>
                <w:sz w:val="18"/>
                <w:szCs w:val="18"/>
              </w:rPr>
              <w:t xml:space="preserve">MAY EXCLUDE</w:t>
            </w:r>
          </w:p>
        </w:tc>
        <w:tc>
          <w:tcPr>
            <w:tcW w:type="dxa" w:w="4840"/>
            <w:tcBorders>
              <w:top w:val="single" w:color="DBEAFE" w:sz="1"/>
              <w:left w:val="single" w:color="DBEAFE" w:sz="1"/>
              <w:bottom w:val="single" w:color="DBEAFE" w:sz="1"/>
              <w:right w:val="single" w:color="DBEAFE" w:sz="1"/>
            </w:tcBorders>
            <w:shd w:fill="F3F4F6" w:val="clear"/>
            <w:tcMar>
              <w:top w:type="dxa" w:w="90"/>
              <w:left w:type="dxa" w:w="120"/>
              <w:bottom w:type="dxa" w:w="90"/>
              <w:right w:type="dxa" w:w="120"/>
            </w:tcMar>
          </w:tcPr>
          <w:p>
            <w:r>
              <w:rPr>
                <w:rFonts w:ascii="Georgia" w:cs="Georgia" w:eastAsia="Georgia" w:hAnsi="Georgia"/>
                <w:i/>
                <w:iCs/>
                <w:color w:val="4B5563"/>
                <w:sz w:val="19"/>
                <w:szCs w:val="19"/>
              </w:rPr>
              <w:t xml:space="preserve">If no information flows or system dependencies, exclusion is defensible. Must document the boundary clearly.</w:t>
            </w:r>
          </w:p>
        </w:tc>
      </w:tr>
      <w:tr>
        <w:tc>
          <w:tcPr>
            <w:tcW w:type="dxa" w:w="300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color w:val="111827"/>
                <w:sz w:val="20"/>
                <w:szCs w:val="20"/>
              </w:rPr>
              <w:t xml:space="preserve">Head office physical location</w:t>
            </w:r>
          </w:p>
        </w:tc>
        <w:tc>
          <w:tcPr>
            <w:tcW w:type="dxa" w:w="1360"/>
            <w:tcBorders>
              <w:top w:val="single" w:color="DBEAFE" w:sz="1"/>
              <w:left w:val="single" w:color="DBEAFE" w:sz="1"/>
              <w:bottom w:val="single" w:color="DBEAFE" w:sz="1"/>
              <w:right w:val="single" w:color="DBEAFE" w:sz="1"/>
            </w:tcBorders>
            <w:shd w:fill="ECFDF5" w:val="clear"/>
            <w:tcMar>
              <w:top w:type="dxa" w:w="90"/>
              <w:left w:type="dxa" w:w="120"/>
              <w:bottom w:type="dxa" w:w="90"/>
              <w:right w:type="dxa" w:w="120"/>
            </w:tcMar>
          </w:tcPr>
          <w:p>
            <w:pPr>
              <w:jc w:val="center"/>
            </w:pPr>
            <w:r>
              <w:rPr>
                <w:rFonts w:ascii="Arial" w:cs="Arial" w:eastAsia="Arial" w:hAnsi="Arial"/>
                <w:b/>
                <w:bCs/>
                <w:color w:val="065F46"/>
                <w:sz w:val="18"/>
                <w:szCs w:val="18"/>
              </w:rPr>
              <w:t xml:space="preserve">IN SCOPE</w:t>
            </w:r>
          </w:p>
        </w:tc>
        <w:tc>
          <w:tcPr>
            <w:tcW w:type="dxa" w:w="4840"/>
            <w:tcBorders>
              <w:top w:val="single" w:color="DBEAFE" w:sz="1"/>
              <w:left w:val="single" w:color="DBEAFE" w:sz="1"/>
              <w:bottom w:val="single" w:color="DBEAFE" w:sz="1"/>
              <w:right w:val="single" w:color="DBEAFE" w:sz="1"/>
            </w:tcBorders>
            <w:shd w:fill="FFFFFF" w:val="clear"/>
            <w:tcMar>
              <w:top w:type="dxa" w:w="90"/>
              <w:left w:type="dxa" w:w="120"/>
              <w:bottom w:type="dxa" w:w="90"/>
              <w:right w:type="dxa" w:w="120"/>
            </w:tcMar>
          </w:tcPr>
          <w:p>
            <w:r>
              <w:rPr>
                <w:rFonts w:ascii="Georgia" w:cs="Georgia" w:eastAsia="Georgia" w:hAnsi="Georgia"/>
                <w:i/>
                <w:iCs/>
                <w:color w:val="4B5563"/>
                <w:sz w:val="19"/>
                <w:szCs w:val="19"/>
              </w:rPr>
              <w:t xml:space="preserve">Physical security (Annex A 7.x) applies to locations where in-scope systems or data are accessed.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Scope creep warning: The most common scoping error is including too much too soon. A scope that covers the entire organization from day one is not inherently better — it is harder to implement, harder to audit, and more likely to produce nonconformities on the first certification attempt. The most effective approach is a defensible, bounded scope that can be certified cleanly, then expanded in subsequent cycles as the ISMS matures.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Writing the Scope Statement</w:t>
      </w:r>
    </w:p>
    <w:p>
      <w:pPr>
        <w:spacing w:after="80"/>
      </w:pPr>
      <w:r>
        <w:t xml:space="preserve"/>
      </w:r>
    </w:p>
    <w:p>
      <w:pPr>
        <w:spacing w:after="160" w:line="320"/>
        <w:jc w:val="both"/>
      </w:pPr>
      <w:r>
        <w:rPr>
          <w:rFonts w:ascii="Georgia" w:cs="Georgia" w:eastAsia="Georgia" w:hAnsi="Georgia"/>
          <w:color w:val="111827"/>
          <w:sz w:val="22"/>
          <w:szCs w:val="22"/>
        </w:rPr>
        <w:t xml:space="preserve">The scope statement is a formal document that must be available as documented information — meaning it must be controlled, versioned, and accessible to auditors. A well-written scope statement is specific and unambiguous. It names the services covered, identifies the locations and environments included, acknowledges key exclusions and their rationale, and provides enough context for an auditor unfamiliar with the organization to understand exactly what the ISMS covers.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Example scope statement: 'The ISMS covers the design, development, operation, and support of [Company Name]'s digital payment platform, including the processing of customer personal and financial data. Scope includes the Jakarta development office, production infrastructure hosted on [Cloud Provider], and third-party payment gateway integrations. The corporate HR system and executive office administration functions are excluded from this scope on the basis that they operate on separate infrastructure with no access to payment processing systems or customer financial data.'</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4.4 — The ISMS</w:t>
      </w:r>
    </w:p>
    <w:p>
      <w:pPr>
        <w:spacing w:after="80"/>
      </w:pPr>
      <w:r>
        <w:t xml:space="preserve"/>
      </w:r>
    </w:p>
    <w:p>
      <w:pPr>
        <w:spacing w:after="160" w:line="320"/>
        <w:jc w:val="both"/>
      </w:pPr>
      <w:r>
        <w:rPr>
          <w:rFonts w:ascii="Georgia" w:cs="Georgia" w:eastAsia="Georgia" w:hAnsi="Georgia"/>
          <w:color w:val="111827"/>
          <w:sz w:val="22"/>
          <w:szCs w:val="22"/>
        </w:rPr>
        <w:t xml:space="preserve">Clause 4.4 is the shortest sub-clause in Clause 4 but carries the heaviest structural weight. It states, simply, that the organization shall establish, implement, maintain, and continually improve an ISMS in accordance with the requirements of ISO 27001.</w:t>
      </w:r>
    </w:p>
    <w:p>
      <w:pPr>
        <w:spacing w:after="80"/>
      </w:pPr>
      <w:r>
        <w:t xml:space="preserve"/>
      </w:r>
    </w:p>
    <w:p>
      <w:pPr>
        <w:spacing w:after="160" w:line="320"/>
        <w:jc w:val="both"/>
      </w:pPr>
      <w:r>
        <w:rPr>
          <w:rFonts w:ascii="Georgia" w:cs="Georgia" w:eastAsia="Georgia" w:hAnsi="Georgia"/>
          <w:color w:val="111827"/>
          <w:sz w:val="22"/>
          <w:szCs w:val="22"/>
        </w:rPr>
        <w:t xml:space="preserve">This is the overarching commitment that the rest of the standard operationalizes. Clauses 5 through 10 are all in service of this single requirement. Every policy, every risk assessment, every audit, every corrective action, every management review is evidence that the organization has done what Clause 4.4 requires — that an ISMS has been established and is being maintained and improved.</w:t>
      </w:r>
    </w:p>
    <w:p>
      <w:pPr>
        <w:spacing w:after="80"/>
      </w:pPr>
      <w:r>
        <w:t xml:space="preserve"/>
      </w:r>
    </w:p>
    <w:p>
      <w:pPr>
        <w:spacing w:after="160" w:line="320"/>
        <w:jc w:val="both"/>
      </w:pPr>
      <w:r>
        <w:rPr>
          <w:rFonts w:ascii="Georgia" w:cs="Georgia" w:eastAsia="Georgia" w:hAnsi="Georgia"/>
          <w:color w:val="111827"/>
          <w:sz w:val="22"/>
          <w:szCs w:val="22"/>
        </w:rPr>
        <w:t xml:space="preserve">The practical implication is that Clause 4.4 cannot be addressed by producing a document. It is addressed by operating the management system over time. Auditors assess Clause 4.4 conformance not by reading a policy but by examining whether all the other clauses — planning, support, operation, evaluation, improvement — are functioning as a coherent system.</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The integration test: A useful way to evaluate whether your ISMS is genuinely meeting Clause 4.4 is to trace a thread through the system. Pick any risk identified in your risk register. Can you follow that risk through the treatment plan to the controls implemented, through the audit records that verified implementation, through any findings raised, through the corrective actions taken, and through the management review that noted the improvement? If you can trace that thread coherently, your ISMS is operating as a system. If the thread breaks anywhere, you have a gap.</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Required Outputs from Clause 4</w:t>
      </w:r>
    </w:p>
    <w:p>
      <w:pPr>
        <w:spacing w:after="80"/>
      </w:pPr>
      <w:r>
        <w:t xml:space="preserve"/>
      </w:r>
    </w:p>
    <w:p>
      <w:pPr>
        <w:spacing w:after="160" w:line="320"/>
        <w:jc w:val="both"/>
      </w:pPr>
      <w:r>
        <w:rPr>
          <w:rFonts w:ascii="Georgia" w:cs="Georgia" w:eastAsia="Georgia" w:hAnsi="Georgia"/>
          <w:color w:val="111827"/>
          <w:sz w:val="22"/>
          <w:szCs w:val="22"/>
        </w:rPr>
        <w:t xml:space="preserve">Clause 4 produces several outputs that are either explicitly required as documented information or are practically required to support later clauses. The table below summarizes what auditors expect to see: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80"/>
        <w:gridCol w:w="2800"/>
        <w:gridCol w:w="1600"/>
        <w:gridCol w:w="4280"/>
      </w:tblGrid>
      <w:tr>
        <w:tc>
          <w:tcPr>
            <w:tcW w:type="dxa" w:w="6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9"/>
                <w:szCs w:val="19"/>
              </w:rPr>
              <w:t xml:space="preserve">§</w:t>
            </w:r>
          </w:p>
        </w:tc>
        <w:tc>
          <w:tcPr>
            <w:tcW w:type="dxa" w:w="28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Required output</w:t>
            </w:r>
          </w:p>
        </w:tc>
        <w:tc>
          <w:tcPr>
            <w:tcW w:type="dxa" w:w="16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Mandatory status</w:t>
            </w:r>
          </w:p>
        </w:tc>
        <w:tc>
          <w:tcPr>
            <w:tcW w:type="dxa" w:w="42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9"/>
                <w:szCs w:val="19"/>
              </w:rPr>
              <w:t xml:space="preserve">What auditors look for</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4.1</w:t>
            </w:r>
          </w:p>
        </w:tc>
        <w:tc>
          <w:tcPr>
            <w:tcW w:type="dxa" w:w="28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Issues register or context analysis document</w:t>
            </w:r>
          </w:p>
        </w:tc>
        <w:tc>
          <w:tcPr>
            <w:tcW w:type="dxa" w:w="16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i/>
                <w:iCs/>
                <w:color w:val="B45309"/>
                <w:sz w:val="18"/>
                <w:szCs w:val="18"/>
              </w:rPr>
              <w:t xml:space="preserve">Required (implied)</w:t>
            </w:r>
          </w:p>
        </w:tc>
        <w:tc>
          <w:tcPr>
            <w:tcW w:type="dxa" w:w="42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A documented record of the internal and external issues identified — typically captured as a structured register or SWOT/PESTLE analysis. Not explicitly mandated as a named document, but expected as evidence.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4.2</w:t>
            </w:r>
          </w:p>
        </w:tc>
        <w:tc>
          <w:tcPr>
            <w:tcW w:type="dxa" w:w="28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Interested parties register with requirements</w:t>
            </w:r>
          </w:p>
        </w:tc>
        <w:tc>
          <w:tcPr>
            <w:tcW w:type="dxa" w:w="16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i/>
                <w:iCs/>
                <w:color w:val="B45309"/>
                <w:sz w:val="18"/>
                <w:szCs w:val="18"/>
              </w:rPr>
              <w:t xml:space="preserve">Required (implied)</w:t>
            </w:r>
          </w:p>
        </w:tc>
        <w:tc>
          <w:tcPr>
            <w:tcW w:type="dxa" w:w="428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A register of identified interested parties, their information security requirements, and an assessment of which requirements are relevant to the ISMS. Must be kept current as relationships and regulations change.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4.3</w:t>
            </w:r>
          </w:p>
        </w:tc>
        <w:tc>
          <w:tcPr>
            <w:tcW w:type="dxa" w:w="28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ISMS scope statement</w:t>
            </w:r>
          </w:p>
        </w:tc>
        <w:tc>
          <w:tcPr>
            <w:tcW w:type="dxa" w:w="160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r>
              <w:rPr>
                <w:rFonts w:ascii="Georgia" w:cs="Georgia" w:eastAsia="Georgia" w:hAnsi="Georgia"/>
                <w:i/>
                <w:iCs/>
                <w:color w:val="065F46"/>
                <w:sz w:val="18"/>
                <w:szCs w:val="18"/>
              </w:rPr>
              <w:t xml:space="preserve">REQUIRED — explicit</w:t>
            </w:r>
          </w:p>
        </w:tc>
        <w:tc>
          <w:tcPr>
            <w:tcW w:type="dxa" w:w="42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A documented scope statement is explicitly required by ISO 27001:2022. It must be available as documented information and must identify the boundaries and applicability of the ISMS — what is included and what is excluded, and why.</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9"/>
                <w:szCs w:val="19"/>
              </w:rPr>
              <w:t xml:space="preserve">4.4</w:t>
            </w:r>
          </w:p>
        </w:tc>
        <w:tc>
          <w:tcPr>
            <w:tcW w:type="dxa" w:w="28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Evidence that ISMS is established and maintained</w:t>
            </w:r>
          </w:p>
        </w:tc>
        <w:tc>
          <w:tcPr>
            <w:tcW w:type="dxa" w:w="160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r>
              <w:rPr>
                <w:rFonts w:ascii="Georgia" w:cs="Georgia" w:eastAsia="Georgia" w:hAnsi="Georgia"/>
                <w:i/>
                <w:iCs/>
                <w:color w:val="B45309"/>
                <w:sz w:val="18"/>
                <w:szCs w:val="18"/>
              </w:rPr>
              <w:t xml:space="preserve">Required (ongoing)</w:t>
            </w:r>
          </w:p>
        </w:tc>
        <w:tc>
          <w:tcPr>
            <w:tcW w:type="dxa" w:w="428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Clause 4.4 is an overarching requirement — the ISMS must be established, implemented, maintained, and continually improved. Evidence of this is the ISMS itself: the policies, risk assessments, audit records, and management reviews that demonstrate the system is operational.</w:t>
            </w:r>
          </w:p>
        </w:tc>
      </w:tr>
    </w:tbl>
    <w:p>
      <w:pPr>
        <w:spacing w:after="160"/>
      </w:pPr>
      <w:r>
        <w:t xml:space="preserve"/>
      </w:r>
    </w:p>
    <w:p>
      <w:pPr>
        <w:spacing w:after="160" w:line="320"/>
        <w:jc w:val="both"/>
      </w:pPr>
      <w:r>
        <w:rPr>
          <w:rFonts w:ascii="Georgia" w:cs="Georgia" w:eastAsia="Georgia" w:hAnsi="Georgia"/>
          <w:color w:val="111827"/>
          <w:sz w:val="22"/>
          <w:szCs w:val="22"/>
        </w:rPr>
        <w:t xml:space="preserve">The distinction between 'explicitly required' and 'practically required' matters. The scope statement (4.3) is explicitly required — its absence is a major nonconformity. The issues register (4.1) and interested parties register (4.2) are not explicitly named documents, but their absence makes it impossible to demonstrate that the requirements were addressed — which makes their practical absence equivalent to a nonconformity.</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Clause 4 Nonconformities and How to Avoid Them</w:t>
      </w:r>
    </w:p>
    <w:p>
      <w:pPr>
        <w:spacing w:after="80"/>
      </w:pPr>
      <w:r>
        <w:t xml:space="preserve"/>
      </w:r>
    </w:p>
    <w:p>
      <w:pPr>
        <w:pStyle w:val="Heading3"/>
        <w:spacing w:after="120" w:before="280"/>
      </w:pPr>
      <w:r>
        <w:rPr>
          <w:rFonts w:ascii="Arial" w:cs="Arial" w:eastAsia="Arial" w:hAnsi="Arial"/>
          <w:b/>
          <w:bCs/>
          <w:color w:val="2563A8"/>
          <w:sz w:val="24"/>
          <w:szCs w:val="24"/>
        </w:rPr>
        <w:t xml:space="preserve">Context analysis that is generic rather than specific</w:t>
      </w:r>
    </w:p>
    <w:p>
      <w:pPr>
        <w:spacing w:after="80"/>
      </w:pPr>
      <w:r>
        <w:t xml:space="preserve"/>
      </w:r>
    </w:p>
    <w:p>
      <w:pPr>
        <w:spacing w:after="160" w:line="320"/>
        <w:jc w:val="both"/>
      </w:pPr>
      <w:r>
        <w:rPr>
          <w:rFonts w:ascii="Georgia" w:cs="Georgia" w:eastAsia="Georgia" w:hAnsi="Georgia"/>
          <w:color w:val="111827"/>
          <w:sz w:val="22"/>
          <w:szCs w:val="22"/>
        </w:rPr>
        <w:t xml:space="preserve">Generic PESTLE analyses that list 'regulation' as an external issue without naming UU PDP, POJK, and PBI specifically do not demonstrate that the organization has genuinely understood its regulatory context. Auditors in Indonesia's financial services sector will immediately identify the relevant regulations — your context analysis needs to name them and explain their information security implications.</w:t>
      </w:r>
    </w:p>
    <w:p>
      <w:pPr>
        <w:spacing w:after="80"/>
      </w:pPr>
      <w:r>
        <w:t xml:space="preserve"/>
      </w:r>
    </w:p>
    <w:p>
      <w:pPr>
        <w:pStyle w:val="Heading3"/>
        <w:spacing w:after="120" w:before="280"/>
      </w:pPr>
      <w:r>
        <w:rPr>
          <w:rFonts w:ascii="Arial" w:cs="Arial" w:eastAsia="Arial" w:hAnsi="Arial"/>
          <w:b/>
          <w:bCs/>
          <w:color w:val="2563A8"/>
          <w:sz w:val="24"/>
          <w:szCs w:val="24"/>
        </w:rPr>
        <w:t xml:space="preserve">Interested parties list that omits regulators</w:t>
      </w:r>
    </w:p>
    <w:p>
      <w:pPr>
        <w:spacing w:after="80"/>
      </w:pPr>
      <w:r>
        <w:t xml:space="preserve"/>
      </w:r>
    </w:p>
    <w:p>
      <w:pPr>
        <w:spacing w:after="160" w:line="320"/>
        <w:jc w:val="both"/>
      </w:pPr>
      <w:r>
        <w:rPr>
          <w:rFonts w:ascii="Georgia" w:cs="Georgia" w:eastAsia="Georgia" w:hAnsi="Georgia"/>
          <w:color w:val="111827"/>
          <w:sz w:val="22"/>
          <w:szCs w:val="22"/>
        </w:rPr>
        <w:t xml:space="preserve">Surprisingly common: organizations list clients and employees as interested parties but fail to include the regulators that have direct information security requirements for them. For any organization subject to OJK, BI, or BSSN oversight, those regulators are interested parties with specific, documented requirements — they must appear in the register.</w:t>
      </w:r>
    </w:p>
    <w:p>
      <w:pPr>
        <w:spacing w:after="80"/>
      </w:pPr>
      <w:r>
        <w:t xml:space="preserve"/>
      </w:r>
    </w:p>
    <w:p>
      <w:pPr>
        <w:pStyle w:val="Heading3"/>
        <w:spacing w:after="120" w:before="280"/>
      </w:pPr>
      <w:r>
        <w:rPr>
          <w:rFonts w:ascii="Arial" w:cs="Arial" w:eastAsia="Arial" w:hAnsi="Arial"/>
          <w:b/>
          <w:bCs/>
          <w:color w:val="2563A8"/>
          <w:sz w:val="24"/>
          <w:szCs w:val="24"/>
        </w:rPr>
        <w:t xml:space="preserve">Scope statement that is too vague to audit</w:t>
      </w:r>
    </w:p>
    <w:p>
      <w:pPr>
        <w:spacing w:after="80"/>
      </w:pPr>
      <w:r>
        <w:t xml:space="preserve"/>
      </w:r>
    </w:p>
    <w:p>
      <w:pPr>
        <w:spacing w:after="160" w:line="320"/>
        <w:jc w:val="both"/>
      </w:pPr>
      <w:r>
        <w:rPr>
          <w:rFonts w:ascii="Georgia" w:cs="Georgia" w:eastAsia="Georgia" w:hAnsi="Georgia"/>
          <w:color w:val="111827"/>
          <w:sz w:val="22"/>
          <w:szCs w:val="22"/>
        </w:rPr>
        <w:t xml:space="preserve">A scope statement that reads 'the ISMS covers all information processing activities of [Company Name]' is not a scope statement — it is a placeholder. Auditors need to know which services, which systems, which locations, and which processes are in scope. Vague scope statements result in disagreements during the audit about what is and is not covered, which creates both audit risk and operational confusion.</w:t>
      </w:r>
    </w:p>
    <w:p>
      <w:pPr>
        <w:spacing w:after="80"/>
      </w:pPr>
      <w:r>
        <w:t xml:space="preserve"/>
      </w:r>
    </w:p>
    <w:p>
      <w:pPr>
        <w:pStyle w:val="Heading3"/>
        <w:spacing w:after="120" w:before="280"/>
      </w:pPr>
      <w:r>
        <w:rPr>
          <w:rFonts w:ascii="Arial" w:cs="Arial" w:eastAsia="Arial" w:hAnsi="Arial"/>
          <w:b/>
          <w:bCs/>
          <w:color w:val="2563A8"/>
          <w:sz w:val="24"/>
          <w:szCs w:val="24"/>
        </w:rPr>
        <w:t xml:space="preserve">Context and scope that are not updated after changes</w:t>
      </w:r>
    </w:p>
    <w:p>
      <w:pPr>
        <w:spacing w:after="80"/>
      </w:pPr>
      <w:r>
        <w:t xml:space="preserve"/>
      </w:r>
    </w:p>
    <w:p>
      <w:pPr>
        <w:spacing w:after="160" w:line="320"/>
        <w:jc w:val="both"/>
      </w:pPr>
      <w:r>
        <w:rPr>
          <w:rFonts w:ascii="Georgia" w:cs="Georgia" w:eastAsia="Georgia" w:hAnsi="Georgia"/>
          <w:color w:val="111827"/>
          <w:sz w:val="22"/>
          <w:szCs w:val="22"/>
        </w:rPr>
        <w:t xml:space="preserve">The context analysis and scope statement must reflect the current state of the organization. A scope that still references systems that have been decommissioned, or a context analysis that does not mention a significant new regulation, signals to auditors that the ISMS is not being actively maintained. Both documents should have version histories and defined review triggers.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Audit failure pattern: The most common Clause 4 finding during certification audits is a disconnect between the context analysis and the risk assessment. If your context analysis identifies ransomware targeting financial services as a significant external issue, your risk assessment must include risks related to ransomware — failure to do so demonstrates that the context analysis was completed as a separate exercise rather than as the input it was designed to be.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4 as the ISMS Foundation</w:t>
      </w:r>
    </w:p>
    <w:p>
      <w:pPr>
        <w:spacing w:after="80"/>
      </w:pPr>
      <w:r>
        <w:t xml:space="preserve"/>
      </w:r>
    </w:p>
    <w:p>
      <w:pPr>
        <w:spacing w:after="160" w:line="320"/>
        <w:jc w:val="both"/>
      </w:pPr>
      <w:r>
        <w:rPr>
          <w:rFonts w:ascii="Georgia" w:cs="Georgia" w:eastAsia="Georgia" w:hAnsi="Georgia"/>
          <w:color w:val="111827"/>
          <w:sz w:val="22"/>
          <w:szCs w:val="22"/>
        </w:rPr>
        <w:t xml:space="preserve">Every subsequent clause in ISO 27001 builds on the foundation that Clause 4 establishes. The risk assessment in Clause 6 is driven by the issues and interested party requirements identified in Clause 4. The scope of controls in Annex A is defined by the scope statement in Clause 4.3. The management review agenda in Clause 9 addresses the context that Clause 4 identified.</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invest proper time in Clause 4 — that produce specific, honest, and well-connected context analyses, stakeholder registers, and scope statements — find that every subsequent implementation task goes more smoothly. The risks identified are more relevant. The controls selected make more intuitive sense. The audit evidence hangs together as a coherent picture rather than a collection of disconnected documents.</w:t>
      </w:r>
    </w:p>
    <w:p>
      <w:pPr>
        <w:spacing w:after="80"/>
      </w:pPr>
      <w:r>
        <w:t xml:space="preserve"/>
      </w:r>
    </w:p>
    <w:p>
      <w:pPr>
        <w:spacing w:after="160" w:line="320"/>
        <w:jc w:val="both"/>
      </w:pPr>
      <w:r>
        <w:rPr>
          <w:rFonts w:ascii="Georgia" w:cs="Georgia" w:eastAsia="Georgia" w:hAnsi="Georgia"/>
          <w:color w:val="111827"/>
          <w:sz w:val="22"/>
          <w:szCs w:val="22"/>
        </w:rPr>
        <w:t xml:space="preserve">The inverse is also reliably true. Organizations that rush Clause 4 spend the rest of their implementation firefighting — re-scoping midway through, discovering missed risks during the audit, producing corrective actions for findings that a proper context analysis would have prevented. Clause 4 is worth the time.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2.3 — Leadership and Commitment (Clause 5): The role of top management in establishing policy, assigning roles, and demonstrating active support for the ISMS.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2026-03-12T03:54:41.701Z</dcterms:created>
  <dcterms:modified xsi:type="dcterms:W3CDTF">2026-03-12T03:54:41.702Z</dcterms:modified>
</cp:coreProperties>
</file>

<file path=docProps/custom.xml><?xml version="1.0" encoding="utf-8"?>
<Properties xmlns="http://schemas.openxmlformats.org/officeDocument/2006/custom-properties" xmlns:vt="http://schemas.openxmlformats.org/officeDocument/2006/docPropsVTypes"/>
</file>